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A1" w:rsidRDefault="00A370A6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Федеральным законом от 3 июля 2016 года № 304-ФЗ «О внесении изменений в Федеральный закон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и отдельные законодательные акты Российской Федерации» внесены существенные изменения в законодательство о долевом строительстве. В большинстве своем данные изменения направлены на </w:t>
      </w:r>
      <w:r w:rsidR="00A332BB">
        <w:rPr>
          <w:rFonts w:ascii="Times New Roman" w:hAnsi="Times New Roman" w:cs="Times New Roman"/>
          <w:sz w:val="28"/>
        </w:rPr>
        <w:t>ужесточение</w:t>
      </w:r>
      <w:r>
        <w:rPr>
          <w:rFonts w:ascii="Times New Roman" w:hAnsi="Times New Roman" w:cs="Times New Roman"/>
          <w:sz w:val="28"/>
        </w:rPr>
        <w:t xml:space="preserve"> требований к застройщикам, в том числе к </w:t>
      </w:r>
      <w:r w:rsidR="00A332BB">
        <w:rPr>
          <w:rFonts w:ascii="Times New Roman" w:hAnsi="Times New Roman" w:cs="Times New Roman"/>
          <w:sz w:val="28"/>
        </w:rPr>
        <w:t xml:space="preserve">их </w:t>
      </w:r>
      <w:r>
        <w:rPr>
          <w:rFonts w:ascii="Times New Roman" w:hAnsi="Times New Roman" w:cs="Times New Roman"/>
          <w:sz w:val="28"/>
        </w:rPr>
        <w:t>информационной открытости, что должно</w:t>
      </w:r>
      <w:r w:rsidR="00D318A3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D318A3">
        <w:rPr>
          <w:rFonts w:ascii="Times New Roman" w:hAnsi="Times New Roman" w:cs="Times New Roman"/>
          <w:sz w:val="28"/>
        </w:rPr>
        <w:t xml:space="preserve">по мнению законодателя, </w:t>
      </w:r>
      <w:r>
        <w:rPr>
          <w:rFonts w:ascii="Times New Roman" w:hAnsi="Times New Roman" w:cs="Times New Roman"/>
          <w:sz w:val="28"/>
        </w:rPr>
        <w:t xml:space="preserve">положительно сказаться на </w:t>
      </w:r>
      <w:r w:rsidR="00A332BB">
        <w:rPr>
          <w:rFonts w:ascii="Times New Roman" w:hAnsi="Times New Roman" w:cs="Times New Roman"/>
          <w:sz w:val="28"/>
        </w:rPr>
        <w:t>защищенности потенциальных участников долевого строительства.</w:t>
      </w:r>
    </w:p>
    <w:p w:rsidR="00BC7790" w:rsidRDefault="00A332BB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790">
        <w:rPr>
          <w:rFonts w:ascii="Times New Roman" w:hAnsi="Times New Roman" w:cs="Times New Roman"/>
          <w:sz w:val="28"/>
        </w:rPr>
        <w:t>С 1 января 2017 года застройщик, планирующий привлечение денежных сре</w:t>
      </w:r>
      <w:proofErr w:type="gramStart"/>
      <w:r w:rsidR="00BC7790">
        <w:rPr>
          <w:rFonts w:ascii="Times New Roman" w:hAnsi="Times New Roman" w:cs="Times New Roman"/>
          <w:sz w:val="28"/>
        </w:rPr>
        <w:t>дств гр</w:t>
      </w:r>
      <w:proofErr w:type="gramEnd"/>
      <w:r w:rsidR="00BC7790">
        <w:rPr>
          <w:rFonts w:ascii="Times New Roman" w:hAnsi="Times New Roman" w:cs="Times New Roman"/>
          <w:sz w:val="28"/>
        </w:rPr>
        <w:t>аждан на дату на</w:t>
      </w:r>
      <w:r w:rsidR="009B33A1">
        <w:rPr>
          <w:rFonts w:ascii="Times New Roman" w:hAnsi="Times New Roman" w:cs="Times New Roman"/>
          <w:sz w:val="28"/>
        </w:rPr>
        <w:t xml:space="preserve">правления проектной декларации </w:t>
      </w:r>
      <w:r w:rsidR="00BC7790">
        <w:rPr>
          <w:rFonts w:ascii="Times New Roman" w:hAnsi="Times New Roman" w:cs="Times New Roman"/>
          <w:sz w:val="28"/>
        </w:rPr>
        <w:t>должен соответствовать следующим требованиям:</w:t>
      </w:r>
    </w:p>
    <w:p w:rsidR="00BC7790" w:rsidRDefault="00BC7790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1) не проводится ликвидация </w:t>
      </w:r>
      <w:proofErr w:type="spellStart"/>
      <w:r>
        <w:rPr>
          <w:rFonts w:ascii="Times New Roman" w:hAnsi="Times New Roman" w:cs="Times New Roman"/>
          <w:sz w:val="28"/>
        </w:rPr>
        <w:t>юр</w:t>
      </w:r>
      <w:proofErr w:type="gramStart"/>
      <w:r>
        <w:rPr>
          <w:rFonts w:ascii="Times New Roman" w:hAnsi="Times New Roman" w:cs="Times New Roman"/>
          <w:sz w:val="28"/>
        </w:rPr>
        <w:t>.л</w:t>
      </w:r>
      <w:proofErr w:type="gramEnd"/>
      <w:r>
        <w:rPr>
          <w:rFonts w:ascii="Times New Roman" w:hAnsi="Times New Roman" w:cs="Times New Roman"/>
          <w:sz w:val="28"/>
        </w:rPr>
        <w:t>ица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BC7790" w:rsidRDefault="00BC7790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2) не применяются </w:t>
      </w:r>
      <w:proofErr w:type="spellStart"/>
      <w:r>
        <w:rPr>
          <w:rFonts w:ascii="Times New Roman" w:hAnsi="Times New Roman" w:cs="Times New Roman"/>
          <w:sz w:val="28"/>
        </w:rPr>
        <w:t>банкротные</w:t>
      </w:r>
      <w:proofErr w:type="spellEnd"/>
      <w:r>
        <w:rPr>
          <w:rFonts w:ascii="Times New Roman" w:hAnsi="Times New Roman" w:cs="Times New Roman"/>
          <w:sz w:val="28"/>
        </w:rPr>
        <w:t xml:space="preserve"> процедуры;</w:t>
      </w:r>
    </w:p>
    <w:p w:rsidR="00BC7790" w:rsidRDefault="00BC7790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3) не приостановлена деятельность;</w:t>
      </w:r>
    </w:p>
    <w:p w:rsidR="00BC7790" w:rsidRDefault="00BC7790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4) отсутствуют сведения в реестре недобросовестных поставщиков по 223-ФЗ и 44-ФЗ в отношении </w:t>
      </w:r>
      <w:proofErr w:type="spellStart"/>
      <w:r>
        <w:rPr>
          <w:rFonts w:ascii="Times New Roman" w:hAnsi="Times New Roman" w:cs="Times New Roman"/>
          <w:sz w:val="28"/>
        </w:rPr>
        <w:t>юр</w:t>
      </w:r>
      <w:proofErr w:type="gramStart"/>
      <w:r>
        <w:rPr>
          <w:rFonts w:ascii="Times New Roman" w:hAnsi="Times New Roman" w:cs="Times New Roman"/>
          <w:sz w:val="28"/>
        </w:rPr>
        <w:t>.л</w:t>
      </w:r>
      <w:proofErr w:type="gramEnd"/>
      <w:r>
        <w:rPr>
          <w:rFonts w:ascii="Times New Roman" w:hAnsi="Times New Roman" w:cs="Times New Roman"/>
          <w:sz w:val="28"/>
        </w:rPr>
        <w:t>ица</w:t>
      </w:r>
      <w:proofErr w:type="spellEnd"/>
      <w:r>
        <w:rPr>
          <w:rFonts w:ascii="Times New Roman" w:hAnsi="Times New Roman" w:cs="Times New Roman"/>
          <w:sz w:val="28"/>
        </w:rPr>
        <w:t xml:space="preserve"> и его руководителя по контрактам и договорам в сфере строительства, реконструкции и </w:t>
      </w:r>
      <w:proofErr w:type="spellStart"/>
      <w:r>
        <w:rPr>
          <w:rFonts w:ascii="Times New Roman" w:hAnsi="Times New Roman" w:cs="Times New Roman"/>
          <w:sz w:val="28"/>
        </w:rPr>
        <w:t>кап.ремонта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BC7790" w:rsidRDefault="00BC7790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5) отсутствуют сведения в реестре недобросовестных участников аукциона по продаже земельного участка;</w:t>
      </w:r>
    </w:p>
    <w:p w:rsidR="00D55A96" w:rsidRDefault="00BC7790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6) отсутствует недоимка по налогам и сборам в бюджетную систему за прошедший календарный год</w:t>
      </w:r>
      <w:r w:rsidR="00D55A96">
        <w:rPr>
          <w:rFonts w:ascii="Times New Roman" w:hAnsi="Times New Roman" w:cs="Times New Roman"/>
          <w:sz w:val="28"/>
        </w:rPr>
        <w:t>;</w:t>
      </w:r>
    </w:p>
    <w:p w:rsidR="00D55A96" w:rsidRDefault="00D55A96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7) отсутств</w:t>
      </w:r>
      <w:r w:rsidR="00D318A3">
        <w:rPr>
          <w:rFonts w:ascii="Times New Roman" w:hAnsi="Times New Roman" w:cs="Times New Roman"/>
          <w:sz w:val="28"/>
        </w:rPr>
        <w:t>ует</w:t>
      </w:r>
      <w:r>
        <w:rPr>
          <w:rFonts w:ascii="Times New Roman" w:hAnsi="Times New Roman" w:cs="Times New Roman"/>
          <w:sz w:val="28"/>
        </w:rPr>
        <w:t xml:space="preserve"> судимост</w:t>
      </w:r>
      <w:r w:rsidR="00D318A3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у руководителя и бухгалтера по преступлениям в сфере экономики;</w:t>
      </w:r>
    </w:p>
    <w:p w:rsidR="002E3289" w:rsidRDefault="00D55A96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Помимо перечисленного</w:t>
      </w:r>
      <w:r w:rsidR="004313C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 1 июля 2017 года </w:t>
      </w:r>
      <w:r w:rsidR="002E3289">
        <w:rPr>
          <w:rFonts w:ascii="Times New Roman" w:hAnsi="Times New Roman" w:cs="Times New Roman"/>
          <w:sz w:val="28"/>
        </w:rPr>
        <w:t>устанавливаются требования к размеру уставного капитала застройщика, определяемого исходя из максимальной суммы общей площади всех жилых и нежилых помещений в составе всех МКД и иных объектов недвижимости, строительство которых осуществляется застройщиком с привлечением денежных сре</w:t>
      </w:r>
      <w:proofErr w:type="gramStart"/>
      <w:r w:rsidR="002E3289">
        <w:rPr>
          <w:rFonts w:ascii="Times New Roman" w:hAnsi="Times New Roman" w:cs="Times New Roman"/>
          <w:sz w:val="28"/>
        </w:rPr>
        <w:t>дств гр</w:t>
      </w:r>
      <w:proofErr w:type="gramEnd"/>
      <w:r w:rsidR="002E3289">
        <w:rPr>
          <w:rFonts w:ascii="Times New Roman" w:hAnsi="Times New Roman" w:cs="Times New Roman"/>
          <w:sz w:val="28"/>
        </w:rPr>
        <w:t>аждан</w:t>
      </w:r>
      <w:r w:rsidR="009B33A1">
        <w:rPr>
          <w:rFonts w:ascii="Times New Roman" w:hAnsi="Times New Roman" w:cs="Times New Roman"/>
          <w:sz w:val="28"/>
        </w:rPr>
        <w:t>.</w:t>
      </w:r>
    </w:p>
    <w:p w:rsidR="005900F0" w:rsidRDefault="002E3289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Так минимальный размер уставного капитала застройщика должен составлять не менее 2 </w:t>
      </w:r>
      <w:proofErr w:type="spellStart"/>
      <w:r>
        <w:rPr>
          <w:rFonts w:ascii="Times New Roman" w:hAnsi="Times New Roman" w:cs="Times New Roman"/>
          <w:sz w:val="28"/>
        </w:rPr>
        <w:t>млн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уб</w:t>
      </w:r>
      <w:proofErr w:type="spellEnd"/>
      <w:r>
        <w:rPr>
          <w:rFonts w:ascii="Times New Roman" w:hAnsi="Times New Roman" w:cs="Times New Roman"/>
          <w:sz w:val="28"/>
        </w:rPr>
        <w:t xml:space="preserve">. при максимальной площади всех объектов долевого строительства – </w:t>
      </w:r>
      <w:r w:rsidR="00BC2CE4">
        <w:rPr>
          <w:rFonts w:ascii="Times New Roman" w:hAnsi="Times New Roman" w:cs="Times New Roman"/>
          <w:sz w:val="28"/>
        </w:rPr>
        <w:t xml:space="preserve">не более </w:t>
      </w:r>
      <w:r>
        <w:rPr>
          <w:rFonts w:ascii="Times New Roman" w:hAnsi="Times New Roman" w:cs="Times New Roman"/>
          <w:sz w:val="28"/>
        </w:rPr>
        <w:t>1,5 тыс.м</w:t>
      </w:r>
      <w:r w:rsidRPr="002E3289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.</w:t>
      </w:r>
      <w:r w:rsidR="00BC779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10 </w:t>
      </w:r>
      <w:proofErr w:type="spellStart"/>
      <w:r>
        <w:rPr>
          <w:rFonts w:ascii="Times New Roman" w:hAnsi="Times New Roman" w:cs="Times New Roman"/>
          <w:sz w:val="28"/>
        </w:rPr>
        <w:t>млн.руб</w:t>
      </w:r>
      <w:proofErr w:type="spellEnd"/>
      <w:r>
        <w:rPr>
          <w:rFonts w:ascii="Times New Roman" w:hAnsi="Times New Roman" w:cs="Times New Roman"/>
          <w:sz w:val="28"/>
        </w:rPr>
        <w:t>. – не более 10 тыс.м</w:t>
      </w:r>
      <w:r w:rsidRPr="002E3289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. 40 </w:t>
      </w:r>
      <w:proofErr w:type="spellStart"/>
      <w:r>
        <w:rPr>
          <w:rFonts w:ascii="Times New Roman" w:hAnsi="Times New Roman" w:cs="Times New Roman"/>
          <w:sz w:val="28"/>
        </w:rPr>
        <w:t>млн.руб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A332B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 не более 25 тыс.м</w:t>
      </w:r>
      <w:r w:rsidRPr="002E3289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и т.д.</w:t>
      </w:r>
    </w:p>
    <w:p w:rsidR="00BC2CE4" w:rsidRDefault="00BC2CE4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Застройщики, не удовлетворяющие данным требованиям на дату направления проектной декларации, не имеют права привлекать средства дольщиков</w:t>
      </w:r>
      <w:r w:rsidR="009B33A1">
        <w:rPr>
          <w:rFonts w:ascii="Times New Roman" w:hAnsi="Times New Roman" w:cs="Times New Roman"/>
          <w:sz w:val="28"/>
        </w:rPr>
        <w:t>.</w:t>
      </w:r>
    </w:p>
    <w:p w:rsidR="00BC2CE4" w:rsidRDefault="00CF3061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Допускается заключение нотариально заверенного договора поручительства между застройщиком, уставной капитал которого ниже оговоренных значений и поручителем (</w:t>
      </w:r>
      <w:proofErr w:type="spellStart"/>
      <w:r>
        <w:rPr>
          <w:rFonts w:ascii="Times New Roman" w:hAnsi="Times New Roman" w:cs="Times New Roman"/>
          <w:sz w:val="28"/>
        </w:rPr>
        <w:t>сопоручителем</w:t>
      </w:r>
      <w:proofErr w:type="spellEnd"/>
      <w:r>
        <w:rPr>
          <w:rFonts w:ascii="Times New Roman" w:hAnsi="Times New Roman" w:cs="Times New Roman"/>
          <w:sz w:val="28"/>
        </w:rPr>
        <w:t xml:space="preserve">), который является </w:t>
      </w:r>
      <w:proofErr w:type="spellStart"/>
      <w:r>
        <w:rPr>
          <w:rFonts w:ascii="Times New Roman" w:hAnsi="Times New Roman" w:cs="Times New Roman"/>
          <w:sz w:val="28"/>
        </w:rPr>
        <w:t>юр</w:t>
      </w:r>
      <w:proofErr w:type="gramStart"/>
      <w:r>
        <w:rPr>
          <w:rFonts w:ascii="Times New Roman" w:hAnsi="Times New Roman" w:cs="Times New Roman"/>
          <w:sz w:val="28"/>
        </w:rPr>
        <w:t>.л</w:t>
      </w:r>
      <w:proofErr w:type="gramEnd"/>
      <w:r>
        <w:rPr>
          <w:rFonts w:ascii="Times New Roman" w:hAnsi="Times New Roman" w:cs="Times New Roman"/>
          <w:sz w:val="28"/>
        </w:rPr>
        <w:t>ицом</w:t>
      </w:r>
      <w:proofErr w:type="spellEnd"/>
      <w:r>
        <w:rPr>
          <w:rFonts w:ascii="Times New Roman" w:hAnsi="Times New Roman" w:cs="Times New Roman"/>
          <w:sz w:val="28"/>
        </w:rPr>
        <w:t xml:space="preserve">, выступающим учредителем (участником) </w:t>
      </w:r>
      <w:proofErr w:type="spellStart"/>
      <w:r>
        <w:rPr>
          <w:rFonts w:ascii="Times New Roman" w:hAnsi="Times New Roman" w:cs="Times New Roman"/>
          <w:sz w:val="28"/>
        </w:rPr>
        <w:t>юр.лица</w:t>
      </w:r>
      <w:proofErr w:type="spellEnd"/>
      <w:r>
        <w:rPr>
          <w:rFonts w:ascii="Times New Roman" w:hAnsi="Times New Roman" w:cs="Times New Roman"/>
          <w:sz w:val="28"/>
        </w:rPr>
        <w:t xml:space="preserve"> – застройщика и отвечает установленным требованиям</w:t>
      </w:r>
      <w:r w:rsidR="00BC2CE4">
        <w:rPr>
          <w:rFonts w:ascii="Times New Roman" w:hAnsi="Times New Roman" w:cs="Times New Roman"/>
          <w:sz w:val="28"/>
        </w:rPr>
        <w:t>.</w:t>
      </w:r>
    </w:p>
    <w:p w:rsidR="00CF3061" w:rsidRDefault="00CF3061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данному договору поручитель (</w:t>
      </w:r>
      <w:proofErr w:type="spellStart"/>
      <w:r>
        <w:rPr>
          <w:rFonts w:ascii="Times New Roman" w:hAnsi="Times New Roman" w:cs="Times New Roman"/>
          <w:sz w:val="28"/>
        </w:rPr>
        <w:t>сопоручитель</w:t>
      </w:r>
      <w:proofErr w:type="spellEnd"/>
      <w:r>
        <w:rPr>
          <w:rFonts w:ascii="Times New Roman" w:hAnsi="Times New Roman" w:cs="Times New Roman"/>
          <w:sz w:val="28"/>
        </w:rPr>
        <w:t>) отвечают в полном объеме за исполнение застройщиком его обязательств перед дольщиками.</w:t>
      </w:r>
    </w:p>
    <w:p w:rsidR="00CF3061" w:rsidRDefault="00CF3061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 при определении минимального размера уставного капитала также учитывается площадь жилых и нежилых помещений, строительство которых осуществляется поручителем с привлечением средств дольщиков.</w:t>
      </w:r>
    </w:p>
    <w:p w:rsidR="00CF3061" w:rsidRDefault="00CF3061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Отдельная статья в законе посвящена раскрытию информации о застройщике, в которой расширен перечень информации, подлежащей опубликованию на официальном сайте застройщика.</w:t>
      </w:r>
    </w:p>
    <w:p w:rsidR="00452B5B" w:rsidRDefault="00452B5B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Так, помимо прочего, застройщик размещает проектную декларацию, договор поручительства, проект ДДУ и ежемесячные фотографии строящегося объекта.</w:t>
      </w:r>
    </w:p>
    <w:p w:rsidR="00452B5B" w:rsidRDefault="00452B5B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 застройщик несет ответственность за неисполнение или ненадлежащее исполнение обязанности по раскрытию информации.</w:t>
      </w:r>
    </w:p>
    <w:p w:rsidR="00452B5B" w:rsidRDefault="00743D87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законодатель ввел дополнительные требования к содержанию ДДУ. В нем, помимо прочего, должен </w:t>
      </w:r>
      <w:r w:rsidR="00F277FA">
        <w:rPr>
          <w:rFonts w:ascii="Times New Roman" w:hAnsi="Times New Roman" w:cs="Times New Roman"/>
          <w:sz w:val="28"/>
        </w:rPr>
        <w:t>присутствовать</w:t>
      </w:r>
      <w:r>
        <w:rPr>
          <w:rFonts w:ascii="Times New Roman" w:hAnsi="Times New Roman" w:cs="Times New Roman"/>
          <w:sz w:val="28"/>
        </w:rPr>
        <w:t xml:space="preserve"> план объекта долевого строительства, сведения о расположении объекта</w:t>
      </w:r>
      <w:r w:rsidR="00CF45EB">
        <w:rPr>
          <w:rFonts w:ascii="Times New Roman" w:hAnsi="Times New Roman" w:cs="Times New Roman"/>
          <w:sz w:val="28"/>
        </w:rPr>
        <w:t>, жилой и нежилой площади</w:t>
      </w:r>
      <w:r>
        <w:rPr>
          <w:rFonts w:ascii="Times New Roman" w:hAnsi="Times New Roman" w:cs="Times New Roman"/>
          <w:sz w:val="28"/>
        </w:rPr>
        <w:t>,</w:t>
      </w:r>
      <w:r w:rsidR="00CF45EB">
        <w:rPr>
          <w:rFonts w:ascii="Times New Roman" w:hAnsi="Times New Roman" w:cs="Times New Roman"/>
          <w:sz w:val="28"/>
        </w:rPr>
        <w:t xml:space="preserve"> этажности МКД в котором расположен объект долевого строительства, </w:t>
      </w:r>
      <w:r w:rsidR="00A16A72">
        <w:rPr>
          <w:rFonts w:ascii="Times New Roman" w:hAnsi="Times New Roman" w:cs="Times New Roman"/>
          <w:sz w:val="28"/>
        </w:rPr>
        <w:t xml:space="preserve">его </w:t>
      </w:r>
      <w:r w:rsidR="00CF45EB">
        <w:rPr>
          <w:rFonts w:ascii="Times New Roman" w:hAnsi="Times New Roman" w:cs="Times New Roman"/>
          <w:sz w:val="28"/>
        </w:rPr>
        <w:t>общей площади,</w:t>
      </w:r>
      <w:r>
        <w:rPr>
          <w:rFonts w:ascii="Times New Roman" w:hAnsi="Times New Roman" w:cs="Times New Roman"/>
          <w:sz w:val="28"/>
        </w:rPr>
        <w:t xml:space="preserve"> материал</w:t>
      </w:r>
      <w:r w:rsidR="00CF45EB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наружных стен и поэтажных перекрыт</w:t>
      </w:r>
      <w:r w:rsidR="00A16A72">
        <w:rPr>
          <w:rFonts w:ascii="Times New Roman" w:hAnsi="Times New Roman" w:cs="Times New Roman"/>
          <w:sz w:val="28"/>
        </w:rPr>
        <w:t>ий, классе энергоэффективности и т.п.</w:t>
      </w:r>
    </w:p>
    <w:p w:rsidR="00A16A72" w:rsidRDefault="00A16A72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защиту застройщиков от недобросовестных участников долевого строительства введено положение об освобождении застройщика от уплаты неустойки в случае</w:t>
      </w:r>
      <w:proofErr w:type="gramEnd"/>
      <w:r>
        <w:rPr>
          <w:rFonts w:ascii="Times New Roman" w:hAnsi="Times New Roman" w:cs="Times New Roman"/>
          <w:sz w:val="28"/>
        </w:rPr>
        <w:t xml:space="preserve"> уклонения участника долевого строительства от подписания передаточного акта</w:t>
      </w:r>
      <w:r w:rsidR="00F277FA">
        <w:rPr>
          <w:rFonts w:ascii="Times New Roman" w:hAnsi="Times New Roman" w:cs="Times New Roman"/>
          <w:sz w:val="28"/>
        </w:rPr>
        <w:t>, при условии исполнении застройщиком своих обязательств в полном объеме</w:t>
      </w:r>
      <w:r>
        <w:rPr>
          <w:rFonts w:ascii="Times New Roman" w:hAnsi="Times New Roman" w:cs="Times New Roman"/>
          <w:sz w:val="28"/>
        </w:rPr>
        <w:t>.</w:t>
      </w:r>
    </w:p>
    <w:p w:rsidR="00A16A72" w:rsidRDefault="00A16A72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передаче объекта долевого строительства, застройщик будет обязан передать участнику долевого строительства инструкцию по эксплуатации объекта (правила безопасного использования, срок службы отдельных элементов отделки, систем инженерно-технического обеспечения, конструктивных элементов, изделий).</w:t>
      </w:r>
    </w:p>
    <w:p w:rsidR="00A16A72" w:rsidRDefault="00A16A72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на устранения выявленных недостатков по гарантийным обязательствам теперь подлежит согласованию с участником долевого строительства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За каждый день просрочки предусмотрена неустойка в рамках закона «О защите прав потребителей».</w:t>
      </w:r>
    </w:p>
    <w:p w:rsidR="0073023E" w:rsidRDefault="0073023E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случае предоставления застройщику кредитной организацией целевого кредита на строительство МКД может быть предусмотрено условие об открытии счетов </w:t>
      </w:r>
      <w:proofErr w:type="spellStart"/>
      <w:r>
        <w:rPr>
          <w:rFonts w:ascii="Times New Roman" w:hAnsi="Times New Roman" w:cs="Times New Roman"/>
          <w:sz w:val="28"/>
        </w:rPr>
        <w:t>эскроу</w:t>
      </w:r>
      <w:proofErr w:type="spellEnd"/>
      <w:r>
        <w:rPr>
          <w:rFonts w:ascii="Times New Roman" w:hAnsi="Times New Roman" w:cs="Times New Roman"/>
          <w:sz w:val="28"/>
        </w:rPr>
        <w:t xml:space="preserve">, на которые </w:t>
      </w:r>
      <w:proofErr w:type="gramStart"/>
      <w:r>
        <w:rPr>
          <w:rFonts w:ascii="Times New Roman" w:hAnsi="Times New Roman" w:cs="Times New Roman"/>
          <w:sz w:val="28"/>
        </w:rPr>
        <w:t>обязаны</w:t>
      </w:r>
      <w:proofErr w:type="gramEnd"/>
      <w:r>
        <w:rPr>
          <w:rFonts w:ascii="Times New Roman" w:hAnsi="Times New Roman" w:cs="Times New Roman"/>
          <w:sz w:val="28"/>
        </w:rPr>
        <w:t xml:space="preserve"> будут вносить денежные средства участники долевого строительства. </w:t>
      </w:r>
      <w:r>
        <w:rPr>
          <w:rFonts w:ascii="Times New Roman" w:hAnsi="Times New Roman" w:cs="Times New Roman"/>
          <w:sz w:val="28"/>
          <w:szCs w:val="28"/>
        </w:rPr>
        <w:t xml:space="preserve">(По общему правилу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эксроу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это</w:t>
      </w:r>
      <w:r w:rsidRPr="0073023E">
        <w:rPr>
          <w:rFonts w:ascii="Times New Roman" w:hAnsi="Times New Roman" w:cs="Times New Roman"/>
          <w:sz w:val="28"/>
          <w:szCs w:val="28"/>
        </w:rPr>
        <w:t xml:space="preserve"> депонирование у третьего лица денежной суммы на имя другого лица с тем, чтобы она была выдана ему лишь после выполнения </w:t>
      </w:r>
      <w:r>
        <w:rPr>
          <w:rFonts w:ascii="Times New Roman" w:hAnsi="Times New Roman" w:cs="Times New Roman"/>
          <w:sz w:val="28"/>
          <w:szCs w:val="28"/>
        </w:rPr>
        <w:t>определенного</w:t>
      </w:r>
      <w:r w:rsidRPr="0073023E">
        <w:rPr>
          <w:rFonts w:ascii="Times New Roman" w:hAnsi="Times New Roman" w:cs="Times New Roman"/>
          <w:sz w:val="28"/>
          <w:szCs w:val="28"/>
        </w:rPr>
        <w:t xml:space="preserve"> условия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302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23E" w:rsidRPr="0073023E" w:rsidRDefault="0073023E" w:rsidP="00BC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 ввел отдельно две статьи по особенностям открытия, ведения, закрытия </w:t>
      </w:r>
      <w:r w:rsidR="00F53B0D">
        <w:rPr>
          <w:rFonts w:ascii="Times New Roman" w:hAnsi="Times New Roman" w:cs="Times New Roman"/>
          <w:sz w:val="28"/>
          <w:szCs w:val="28"/>
        </w:rPr>
        <w:t xml:space="preserve">указанных счетов </w:t>
      </w:r>
      <w:r>
        <w:rPr>
          <w:rFonts w:ascii="Times New Roman" w:hAnsi="Times New Roman" w:cs="Times New Roman"/>
          <w:sz w:val="28"/>
          <w:szCs w:val="28"/>
        </w:rPr>
        <w:t xml:space="preserve">и привлечения денежных средств дольщиков на </w:t>
      </w:r>
      <w:r w:rsidR="00F53B0D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197C" w:rsidRDefault="0039197C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статье 18 Закона расширен перечень целей, на которые застройщик может использовать средства дольщиков. </w:t>
      </w:r>
      <w:proofErr w:type="gramStart"/>
      <w:r>
        <w:rPr>
          <w:rFonts w:ascii="Times New Roman" w:hAnsi="Times New Roman" w:cs="Times New Roman"/>
          <w:sz w:val="28"/>
        </w:rPr>
        <w:t>Помимо ранее установленных целей</w:t>
      </w:r>
      <w:r w:rsidR="0024054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за счет привлеченных средств граждан возможна уплата арендной платы за земельные участки, оплата государственной экологической экспертизы, возмещение затрат на строительство и реконструкцию сетей инженерно-технического обеспечения, внесение платы за технологическое присоединение к данным сетям, возмещение затрат в связи с заключением договора о комплексном освоении территории, в том числе в целях строительства жилья экономического класса, возмещение затрат на</w:t>
      </w:r>
      <w:proofErr w:type="gramEnd"/>
      <w:r>
        <w:rPr>
          <w:rFonts w:ascii="Times New Roman" w:hAnsi="Times New Roman" w:cs="Times New Roman"/>
          <w:sz w:val="28"/>
        </w:rPr>
        <w:t xml:space="preserve"> уплату процентов по целевым кредитам на строительство, возмещение затрат связанных с государственной </w:t>
      </w:r>
      <w:r>
        <w:rPr>
          <w:rFonts w:ascii="Times New Roman" w:hAnsi="Times New Roman" w:cs="Times New Roman"/>
          <w:sz w:val="28"/>
        </w:rPr>
        <w:lastRenderedPageBreak/>
        <w:t>регистрацией ДДУ и др. При этом не допускается использование застройщиком денежных средств на цели, не указанные в вышеупомянутой статье.</w:t>
      </w:r>
    </w:p>
    <w:p w:rsidR="0039197C" w:rsidRDefault="000E5023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с 1 января 2017 года годовая бухгалтерская (финансовая) отчетность застройщиков, привлекающих средства дольщиков, подлежит обязательному аудиту</w:t>
      </w:r>
      <w:r w:rsidR="008B6CC2">
        <w:rPr>
          <w:rFonts w:ascii="Times New Roman" w:hAnsi="Times New Roman" w:cs="Times New Roman"/>
          <w:sz w:val="28"/>
        </w:rPr>
        <w:t>.</w:t>
      </w:r>
    </w:p>
    <w:p w:rsidR="000E5023" w:rsidRDefault="008B6CC2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Проектные декларации застройщика будут предоставляться в Департамент </w:t>
      </w:r>
      <w:r w:rsidR="009B33A1">
        <w:rPr>
          <w:rFonts w:ascii="Times New Roman" w:hAnsi="Times New Roman" w:cs="Times New Roman"/>
          <w:sz w:val="28"/>
        </w:rPr>
        <w:t xml:space="preserve">строительства, архитектуры и градостроительства Костромской области </w:t>
      </w:r>
      <w:r>
        <w:rPr>
          <w:rFonts w:ascii="Times New Roman" w:hAnsi="Times New Roman" w:cs="Times New Roman"/>
          <w:sz w:val="28"/>
        </w:rPr>
        <w:t>по средствам заполнения электронных форм и их подписания электронной подписью на сайте, определенном Минстроем.</w:t>
      </w:r>
      <w:r w:rsidR="009B33A1">
        <w:rPr>
          <w:rFonts w:ascii="Times New Roman" w:hAnsi="Times New Roman" w:cs="Times New Roman"/>
          <w:sz w:val="28"/>
        </w:rPr>
        <w:t xml:space="preserve"> До создания сайта – в бумажном виде.</w:t>
      </w:r>
    </w:p>
    <w:p w:rsidR="008B6CC2" w:rsidRDefault="008B6CC2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Департамент в течение 30 дней должен будет </w:t>
      </w:r>
      <w:proofErr w:type="gramStart"/>
      <w:r>
        <w:rPr>
          <w:rFonts w:ascii="Times New Roman" w:hAnsi="Times New Roman" w:cs="Times New Roman"/>
          <w:sz w:val="28"/>
        </w:rPr>
        <w:t>предоставить заключение</w:t>
      </w:r>
      <w:proofErr w:type="gramEnd"/>
      <w:r>
        <w:rPr>
          <w:rFonts w:ascii="Times New Roman" w:hAnsi="Times New Roman" w:cs="Times New Roman"/>
          <w:sz w:val="28"/>
        </w:rPr>
        <w:t xml:space="preserve"> застройщику о соответствии его (застройщика) и проектной декларации установленным требованиям или отказ в предоставлении такого заключения.</w:t>
      </w:r>
    </w:p>
    <w:p w:rsidR="008B6CC2" w:rsidRDefault="00600329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Без получения соответствующего заключения не допускается привлечение средств участников долевого строительства.</w:t>
      </w:r>
    </w:p>
    <w:p w:rsidR="00600329" w:rsidRDefault="00600329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Изменения, вносимые в проектную декларацию, подлежат размещению на официальном сайте застройщика и направлению в Департамент в течение пяти рабочих дней со дня внесения данных изменений.</w:t>
      </w:r>
    </w:p>
    <w:p w:rsidR="00600329" w:rsidRDefault="00600329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Требования к информации о застройщике в составе проектной декларации существенно не изменились</w:t>
      </w:r>
      <w:r w:rsidR="00360F52">
        <w:rPr>
          <w:rFonts w:ascii="Times New Roman" w:hAnsi="Times New Roman" w:cs="Times New Roman"/>
          <w:sz w:val="28"/>
        </w:rPr>
        <w:t>, однако существенно дополнен перечень информации о проекте строительства, подлежащей опубликованию.</w:t>
      </w:r>
    </w:p>
    <w:p w:rsidR="00360F52" w:rsidRDefault="00360F52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Так, помимо прочего, размещается информация о лицах, выполнивших инженерные изыскания, архитектурно-строительное проектирование, о результатах экспертизы, о планируемых элементах благоустройства территории, о планируемом подключении к инженерным сетям и размере платы за такое подключение, о составе общего имущества, включая перечень помещений общего пользования с указанием их назначения и площади, перечень и характеристики технологического и инженерного оборудования, информация о примерном графике реализации проекта</w:t>
      </w:r>
      <w:proofErr w:type="gramEnd"/>
      <w:r>
        <w:rPr>
          <w:rFonts w:ascii="Times New Roman" w:hAnsi="Times New Roman" w:cs="Times New Roman"/>
          <w:sz w:val="28"/>
        </w:rPr>
        <w:t xml:space="preserve"> строительства, о размере полностью оплаченного уставного капитала застройщика, о размере максимальной площади всех объектов долевого строительства застройщика и т.д.</w:t>
      </w:r>
    </w:p>
    <w:p w:rsidR="00360F52" w:rsidRDefault="006E7C04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Минстроем, помимо формы проектной декларации, также будет утверждена форма отчетности застройщиков в Департамент, в том числе содержащая сведения об исполнении примерных графиков реализации проектов строительства и обязательств по договорам.</w:t>
      </w:r>
    </w:p>
    <w:p w:rsidR="005F1CC1" w:rsidRDefault="005F1CC1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Департамент с 1 января 2017 года осуществляет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соблюдением </w:t>
      </w:r>
      <w:r w:rsidR="00A7688E">
        <w:rPr>
          <w:rFonts w:ascii="Times New Roman" w:hAnsi="Times New Roman" w:cs="Times New Roman"/>
          <w:sz w:val="28"/>
        </w:rPr>
        <w:t xml:space="preserve">вновь </w:t>
      </w:r>
      <w:r>
        <w:rPr>
          <w:rFonts w:ascii="Times New Roman" w:hAnsi="Times New Roman" w:cs="Times New Roman"/>
          <w:sz w:val="28"/>
        </w:rPr>
        <w:t>установленных требований к застройщику, требований к раскрытию и размещению им информации, соблюдению примерных графиков реализации проектов строительства, требований к ведению учета денежных средств участников долевого строительства (ведется отдельно в отношении каждого МКД или иного объекта недвижимости).</w:t>
      </w:r>
    </w:p>
    <w:p w:rsidR="005F1CC1" w:rsidRDefault="005F1CC1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целях выдачи заключения о соответствии застройщика установленным требованиям и </w:t>
      </w:r>
      <w:proofErr w:type="gramStart"/>
      <w:r>
        <w:rPr>
          <w:rFonts w:ascii="Times New Roman" w:hAnsi="Times New Roman" w:cs="Times New Roman"/>
          <w:sz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</w:rPr>
        <w:t xml:space="preserve"> деятельностью застройщика, Департамент будет запрашивать информацию в УФНС, УМВД, Управлении Росреестра и иных государственных органах.</w:t>
      </w:r>
    </w:p>
    <w:p w:rsidR="005F1CC1" w:rsidRDefault="00865501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Также к обязанностям Департамента теперь отнесено направление в правоохранительные органы материалов, связанных с нарушением обязательных требований, для решения вопросов о возбуждении уголовных дел по признакам преступлений. </w:t>
      </w:r>
      <w:r w:rsidR="009B33A1">
        <w:rPr>
          <w:rFonts w:ascii="Times New Roman" w:hAnsi="Times New Roman" w:cs="Times New Roman"/>
          <w:sz w:val="28"/>
          <w:szCs w:val="28"/>
        </w:rPr>
        <w:t>С</w:t>
      </w:r>
      <w:r w:rsidRPr="00865501">
        <w:rPr>
          <w:rFonts w:ascii="Times New Roman" w:hAnsi="Times New Roman" w:cs="Times New Roman"/>
          <w:sz w:val="28"/>
          <w:szCs w:val="28"/>
        </w:rPr>
        <w:t xml:space="preserve"> 12 мая 2016 года вступил в силу Федеральный закон № 139-ФЗ, который дополняет Уголовный кодекс Российской Федерации статьей 200.3, предполагающей наступление уголовной ответственности для лиц, привлекающих денежные средства граждан для строительства в нарушение требований законодательства Российской Федерации об участии в долевом строительстве многоквартирных домов и (или) иных объектов недвижимости.</w:t>
      </w:r>
    </w:p>
    <w:p w:rsidR="0093080D" w:rsidRDefault="0093080D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проведения внеплановой проверки</w:t>
      </w:r>
      <w:r w:rsidR="00C8433A">
        <w:rPr>
          <w:rFonts w:ascii="Times New Roman" w:hAnsi="Times New Roman" w:cs="Times New Roman"/>
          <w:sz w:val="28"/>
          <w:szCs w:val="28"/>
        </w:rPr>
        <w:t>, помимо прочего,</w:t>
      </w:r>
      <w:r>
        <w:rPr>
          <w:rFonts w:ascii="Times New Roman" w:hAnsi="Times New Roman" w:cs="Times New Roman"/>
          <w:sz w:val="28"/>
          <w:szCs w:val="28"/>
        </w:rPr>
        <w:t xml:space="preserve"> теперь является отклонение застройщика от примерного графика реализации проекта строительства на 6 и более месяцев.</w:t>
      </w:r>
    </w:p>
    <w:p w:rsidR="0093080D" w:rsidRDefault="00490754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с 1 июля 2017 года Минстрой будет осуществлять ведение единого </w:t>
      </w:r>
      <w:r w:rsidR="00344515">
        <w:rPr>
          <w:rFonts w:ascii="Times New Roman" w:hAnsi="Times New Roman" w:cs="Times New Roman"/>
          <w:sz w:val="28"/>
          <w:szCs w:val="28"/>
        </w:rPr>
        <w:t xml:space="preserve">открытого </w:t>
      </w:r>
      <w:r>
        <w:rPr>
          <w:rFonts w:ascii="Times New Roman" w:hAnsi="Times New Roman" w:cs="Times New Roman"/>
          <w:sz w:val="28"/>
          <w:szCs w:val="28"/>
        </w:rPr>
        <w:t>реестра застройщиков</w:t>
      </w:r>
      <w:r w:rsidR="00344515">
        <w:rPr>
          <w:rFonts w:ascii="Times New Roman" w:hAnsi="Times New Roman" w:cs="Times New Roman"/>
          <w:sz w:val="28"/>
          <w:szCs w:val="28"/>
        </w:rPr>
        <w:t>.</w:t>
      </w:r>
    </w:p>
    <w:p w:rsidR="00344515" w:rsidRDefault="009B33A1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344515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ом РФ создан фонд</w:t>
      </w:r>
      <w:r w:rsidR="00344515">
        <w:rPr>
          <w:rFonts w:ascii="Times New Roman" w:hAnsi="Times New Roman" w:cs="Times New Roman"/>
          <w:sz w:val="28"/>
          <w:szCs w:val="28"/>
        </w:rPr>
        <w:t>, формируем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344515">
        <w:rPr>
          <w:rFonts w:ascii="Times New Roman" w:hAnsi="Times New Roman" w:cs="Times New Roman"/>
          <w:sz w:val="28"/>
          <w:szCs w:val="28"/>
        </w:rPr>
        <w:t xml:space="preserve"> за счет обязательных отчислений застройщиков в целях дополнительной защиты прав участников долевого строительства, перед которыми не исполняются обязательства и в отношении </w:t>
      </w:r>
      <w:r w:rsidR="00C8433A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344515">
        <w:rPr>
          <w:rFonts w:ascii="Times New Roman" w:hAnsi="Times New Roman" w:cs="Times New Roman"/>
          <w:sz w:val="28"/>
          <w:szCs w:val="28"/>
        </w:rPr>
        <w:t>застройщиков введены процедуры банкротства.</w:t>
      </w:r>
    </w:p>
    <w:p w:rsidR="00344515" w:rsidRDefault="00F251E5" w:rsidP="00391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44515">
        <w:rPr>
          <w:rFonts w:ascii="Times New Roman" w:hAnsi="Times New Roman" w:cs="Times New Roman"/>
          <w:sz w:val="28"/>
          <w:szCs w:val="28"/>
        </w:rPr>
        <w:t>азмер обязательных отчислений застройщик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44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 составлять</w:t>
      </w:r>
      <w:r w:rsidR="00344515">
        <w:rPr>
          <w:rFonts w:ascii="Times New Roman" w:hAnsi="Times New Roman" w:cs="Times New Roman"/>
          <w:sz w:val="28"/>
          <w:szCs w:val="28"/>
        </w:rPr>
        <w:t xml:space="preserve"> 1% от </w:t>
      </w:r>
      <w:r>
        <w:rPr>
          <w:rFonts w:ascii="Times New Roman" w:hAnsi="Times New Roman" w:cs="Times New Roman"/>
          <w:sz w:val="28"/>
          <w:szCs w:val="28"/>
        </w:rPr>
        <w:t xml:space="preserve">декларируемой </w:t>
      </w:r>
      <w:r w:rsidR="00344515">
        <w:rPr>
          <w:rFonts w:ascii="Times New Roman" w:hAnsi="Times New Roman" w:cs="Times New Roman"/>
          <w:sz w:val="28"/>
          <w:szCs w:val="28"/>
        </w:rPr>
        <w:t>стоимости строительства, указанной в проектной декларации.</w:t>
      </w:r>
    </w:p>
    <w:p w:rsidR="003A176D" w:rsidRDefault="003A176D" w:rsidP="003A176D">
      <w:pPr>
        <w:pStyle w:val="ConsPlusNormal"/>
        <w:ind w:firstLine="708"/>
        <w:jc w:val="both"/>
      </w:pPr>
      <w:proofErr w:type="gramStart"/>
      <w:r>
        <w:t>Также внесены изменения в закон «О рекламе», в рамках которых не допускается реклама, связанная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 до выдачи в установленном порядке разрешения на строительство, государственной регистрации права собственности или права аренды, субаренды на земельный участок, на котором осуществляется строительство, получения заключения о соответствии застройщика и</w:t>
      </w:r>
      <w:proofErr w:type="gramEnd"/>
      <w:r>
        <w:t xml:space="preserve"> проектной </w:t>
      </w:r>
      <w:proofErr w:type="gramStart"/>
      <w:r>
        <w:t>декларации</w:t>
      </w:r>
      <w:proofErr w:type="gramEnd"/>
      <w:r>
        <w:t xml:space="preserve"> установленным требованиям.</w:t>
      </w:r>
    </w:p>
    <w:p w:rsidR="00344515" w:rsidRDefault="003A176D" w:rsidP="003A176D">
      <w:pPr>
        <w:pStyle w:val="ConsPlusNormal"/>
        <w:ind w:firstLine="708"/>
        <w:jc w:val="both"/>
      </w:pPr>
      <w:r>
        <w:t>Для государственной регистрации ДДУ</w:t>
      </w:r>
      <w:r w:rsidR="0065427C">
        <w:t xml:space="preserve"> с первым участником долевого строительства</w:t>
      </w:r>
      <w:r>
        <w:t xml:space="preserve"> также теперь требуется наличие упомянутого заключения и договор</w:t>
      </w:r>
      <w:r w:rsidR="00D66A2C">
        <w:t>а</w:t>
      </w:r>
      <w:r>
        <w:t xml:space="preserve"> поручительства по обязательствам застройщика, размер уставного капитала которого не соответствует установленным требованиям.</w:t>
      </w:r>
    </w:p>
    <w:p w:rsidR="0065427C" w:rsidRDefault="0065427C" w:rsidP="003A176D">
      <w:pPr>
        <w:pStyle w:val="ConsPlusNormal"/>
        <w:ind w:firstLine="708"/>
        <w:jc w:val="both"/>
      </w:pPr>
      <w:r>
        <w:t xml:space="preserve">Действие рассмотренных изменений в части установления новых требований к застройщику, распространяется </w:t>
      </w:r>
      <w:proofErr w:type="gramStart"/>
      <w:r>
        <w:t>на</w:t>
      </w:r>
      <w:proofErr w:type="gramEnd"/>
      <w:r>
        <w:t xml:space="preserve"> </w:t>
      </w:r>
      <w:proofErr w:type="gramStart"/>
      <w:r>
        <w:t>последних</w:t>
      </w:r>
      <w:proofErr w:type="gramEnd"/>
      <w:r>
        <w:t>, если государственная регистрация ДДУ с первым участником долевого строительства осуществляется после 1 января 2017 года, в части требований к уставному капиталу – с 1 июля 2017 года.</w:t>
      </w:r>
      <w:r w:rsidR="00D318A3">
        <w:t xml:space="preserve"> Также положения по созданию и ведению счетов </w:t>
      </w:r>
      <w:proofErr w:type="spellStart"/>
      <w:r w:rsidR="00D318A3">
        <w:t>эксроу</w:t>
      </w:r>
      <w:proofErr w:type="spellEnd"/>
      <w:r w:rsidR="00D318A3">
        <w:t xml:space="preserve"> вступают в силу с 1 июля 2017 года.</w:t>
      </w:r>
    </w:p>
    <w:p w:rsidR="0065427C" w:rsidRDefault="0065427C" w:rsidP="003A176D">
      <w:pPr>
        <w:pStyle w:val="ConsPlusNormal"/>
        <w:ind w:firstLine="708"/>
        <w:jc w:val="both"/>
      </w:pPr>
      <w:bookmarkStart w:id="0" w:name="_GoBack"/>
      <w:bookmarkEnd w:id="0"/>
    </w:p>
    <w:p w:rsidR="0065427C" w:rsidRDefault="0065427C" w:rsidP="003A176D">
      <w:pPr>
        <w:pStyle w:val="ConsPlusNormal"/>
        <w:ind w:firstLine="708"/>
        <w:jc w:val="both"/>
      </w:pPr>
    </w:p>
    <w:p w:rsidR="003A176D" w:rsidRPr="00865501" w:rsidRDefault="003A176D" w:rsidP="003A176D">
      <w:pPr>
        <w:pStyle w:val="ConsPlusNormal"/>
        <w:ind w:firstLine="540"/>
        <w:jc w:val="both"/>
      </w:pPr>
      <w:r>
        <w:tab/>
      </w:r>
    </w:p>
    <w:p w:rsidR="00BC2CE4" w:rsidRDefault="00BC2CE4" w:rsidP="005900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A332BB" w:rsidRPr="0037471A" w:rsidRDefault="00A332BB" w:rsidP="005900F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</w:p>
    <w:p w:rsidR="00EF7DBF" w:rsidRPr="00BD013C" w:rsidRDefault="00EF7DBF" w:rsidP="00CB1F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61E9" w:rsidRDefault="00C261E9" w:rsidP="00863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261E9" w:rsidSect="00504C9F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DF5"/>
    <w:multiLevelType w:val="hybridMultilevel"/>
    <w:tmpl w:val="A4BC32F6"/>
    <w:lvl w:ilvl="0" w:tplc="AD82E51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FF23E0"/>
    <w:multiLevelType w:val="hybridMultilevel"/>
    <w:tmpl w:val="F19697D0"/>
    <w:lvl w:ilvl="0" w:tplc="31D29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46CD0"/>
    <w:multiLevelType w:val="hybridMultilevel"/>
    <w:tmpl w:val="8DCAFB22"/>
    <w:lvl w:ilvl="0" w:tplc="31D29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F78BC"/>
    <w:multiLevelType w:val="hybridMultilevel"/>
    <w:tmpl w:val="0E06546E"/>
    <w:lvl w:ilvl="0" w:tplc="31D298F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44B6C"/>
    <w:multiLevelType w:val="hybridMultilevel"/>
    <w:tmpl w:val="5384509E"/>
    <w:lvl w:ilvl="0" w:tplc="14C88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561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E27B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C2A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045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CE3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408D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A33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246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09078E"/>
    <w:multiLevelType w:val="hybridMultilevel"/>
    <w:tmpl w:val="033A3FFA"/>
    <w:lvl w:ilvl="0" w:tplc="31D29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864E9B"/>
    <w:multiLevelType w:val="hybridMultilevel"/>
    <w:tmpl w:val="D0480930"/>
    <w:lvl w:ilvl="0" w:tplc="31D29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12"/>
    <w:rsid w:val="00011371"/>
    <w:rsid w:val="0002115A"/>
    <w:rsid w:val="00045ABA"/>
    <w:rsid w:val="00046717"/>
    <w:rsid w:val="000524D7"/>
    <w:rsid w:val="00053186"/>
    <w:rsid w:val="00066532"/>
    <w:rsid w:val="00066809"/>
    <w:rsid w:val="000A4C91"/>
    <w:rsid w:val="000B4F2E"/>
    <w:rsid w:val="000E196D"/>
    <w:rsid w:val="000E5023"/>
    <w:rsid w:val="000F047C"/>
    <w:rsid w:val="000F3708"/>
    <w:rsid w:val="000F64A5"/>
    <w:rsid w:val="00122141"/>
    <w:rsid w:val="001305CE"/>
    <w:rsid w:val="00151E79"/>
    <w:rsid w:val="00165049"/>
    <w:rsid w:val="0018411F"/>
    <w:rsid w:val="001A46D7"/>
    <w:rsid w:val="001A6E3A"/>
    <w:rsid w:val="001B691F"/>
    <w:rsid w:val="001F3C3F"/>
    <w:rsid w:val="001F4931"/>
    <w:rsid w:val="00213B65"/>
    <w:rsid w:val="0022503F"/>
    <w:rsid w:val="00227F87"/>
    <w:rsid w:val="00240549"/>
    <w:rsid w:val="00283027"/>
    <w:rsid w:val="002A7E2F"/>
    <w:rsid w:val="002B0A4E"/>
    <w:rsid w:val="002B444B"/>
    <w:rsid w:val="002B6288"/>
    <w:rsid w:val="002C217B"/>
    <w:rsid w:val="002E3289"/>
    <w:rsid w:val="00310C45"/>
    <w:rsid w:val="00330C23"/>
    <w:rsid w:val="00332A67"/>
    <w:rsid w:val="00344515"/>
    <w:rsid w:val="00351C69"/>
    <w:rsid w:val="00360F52"/>
    <w:rsid w:val="00365D69"/>
    <w:rsid w:val="0037471A"/>
    <w:rsid w:val="00386587"/>
    <w:rsid w:val="00387280"/>
    <w:rsid w:val="0039197C"/>
    <w:rsid w:val="00396EF3"/>
    <w:rsid w:val="003A176D"/>
    <w:rsid w:val="003B0814"/>
    <w:rsid w:val="003E2A62"/>
    <w:rsid w:val="00410FF8"/>
    <w:rsid w:val="004151CE"/>
    <w:rsid w:val="004313C7"/>
    <w:rsid w:val="00432ACB"/>
    <w:rsid w:val="004368CA"/>
    <w:rsid w:val="00447607"/>
    <w:rsid w:val="00452B5B"/>
    <w:rsid w:val="0045629C"/>
    <w:rsid w:val="00464AEA"/>
    <w:rsid w:val="00474675"/>
    <w:rsid w:val="00490754"/>
    <w:rsid w:val="0049118F"/>
    <w:rsid w:val="00493CB1"/>
    <w:rsid w:val="004D4DAD"/>
    <w:rsid w:val="004E6A16"/>
    <w:rsid w:val="004F48F1"/>
    <w:rsid w:val="00504C9F"/>
    <w:rsid w:val="00511BE6"/>
    <w:rsid w:val="00523FFD"/>
    <w:rsid w:val="005475C4"/>
    <w:rsid w:val="00567022"/>
    <w:rsid w:val="0057343D"/>
    <w:rsid w:val="00583DCA"/>
    <w:rsid w:val="00587CED"/>
    <w:rsid w:val="005900F0"/>
    <w:rsid w:val="005A1A00"/>
    <w:rsid w:val="005B7504"/>
    <w:rsid w:val="005F1CC1"/>
    <w:rsid w:val="00600329"/>
    <w:rsid w:val="0065427C"/>
    <w:rsid w:val="00664BF1"/>
    <w:rsid w:val="00675D95"/>
    <w:rsid w:val="00683568"/>
    <w:rsid w:val="0069167A"/>
    <w:rsid w:val="006A0DF3"/>
    <w:rsid w:val="006D348B"/>
    <w:rsid w:val="006E7C04"/>
    <w:rsid w:val="006F3F03"/>
    <w:rsid w:val="0073023E"/>
    <w:rsid w:val="0073283E"/>
    <w:rsid w:val="00736C85"/>
    <w:rsid w:val="00743D87"/>
    <w:rsid w:val="0076171C"/>
    <w:rsid w:val="00773A9C"/>
    <w:rsid w:val="007763DB"/>
    <w:rsid w:val="00782EF4"/>
    <w:rsid w:val="0078429E"/>
    <w:rsid w:val="007D1C40"/>
    <w:rsid w:val="007F7ABC"/>
    <w:rsid w:val="00800212"/>
    <w:rsid w:val="00825F4F"/>
    <w:rsid w:val="008634C8"/>
    <w:rsid w:val="00865501"/>
    <w:rsid w:val="00880AF1"/>
    <w:rsid w:val="00890AEF"/>
    <w:rsid w:val="008A5D3F"/>
    <w:rsid w:val="008A6E83"/>
    <w:rsid w:val="008B2DD6"/>
    <w:rsid w:val="008B661B"/>
    <w:rsid w:val="008B6CC2"/>
    <w:rsid w:val="008D5389"/>
    <w:rsid w:val="0093080D"/>
    <w:rsid w:val="00987D2C"/>
    <w:rsid w:val="009B33A1"/>
    <w:rsid w:val="009C0B0C"/>
    <w:rsid w:val="009F1591"/>
    <w:rsid w:val="00A02AAA"/>
    <w:rsid w:val="00A16A72"/>
    <w:rsid w:val="00A20E32"/>
    <w:rsid w:val="00A332BB"/>
    <w:rsid w:val="00A370A6"/>
    <w:rsid w:val="00A4166B"/>
    <w:rsid w:val="00A4349A"/>
    <w:rsid w:val="00A7688E"/>
    <w:rsid w:val="00A845B5"/>
    <w:rsid w:val="00AA7FC0"/>
    <w:rsid w:val="00AB5E77"/>
    <w:rsid w:val="00AD1477"/>
    <w:rsid w:val="00B12857"/>
    <w:rsid w:val="00B56D11"/>
    <w:rsid w:val="00BA76AE"/>
    <w:rsid w:val="00BC1384"/>
    <w:rsid w:val="00BC2CE4"/>
    <w:rsid w:val="00BC4DB9"/>
    <w:rsid w:val="00BC7790"/>
    <w:rsid w:val="00BD013C"/>
    <w:rsid w:val="00BD50FD"/>
    <w:rsid w:val="00BD6EE8"/>
    <w:rsid w:val="00BE2DEF"/>
    <w:rsid w:val="00C261E9"/>
    <w:rsid w:val="00C538FB"/>
    <w:rsid w:val="00C55401"/>
    <w:rsid w:val="00C8433A"/>
    <w:rsid w:val="00C90276"/>
    <w:rsid w:val="00CB1F8E"/>
    <w:rsid w:val="00CC2146"/>
    <w:rsid w:val="00CD510D"/>
    <w:rsid w:val="00CF3061"/>
    <w:rsid w:val="00CF45EB"/>
    <w:rsid w:val="00D318A3"/>
    <w:rsid w:val="00D325BD"/>
    <w:rsid w:val="00D43885"/>
    <w:rsid w:val="00D55A96"/>
    <w:rsid w:val="00D66A2C"/>
    <w:rsid w:val="00D776D7"/>
    <w:rsid w:val="00DC18EA"/>
    <w:rsid w:val="00DD08B2"/>
    <w:rsid w:val="00E17C25"/>
    <w:rsid w:val="00E3137E"/>
    <w:rsid w:val="00E37584"/>
    <w:rsid w:val="00E54D40"/>
    <w:rsid w:val="00E71597"/>
    <w:rsid w:val="00E74E2A"/>
    <w:rsid w:val="00E87241"/>
    <w:rsid w:val="00EC20DC"/>
    <w:rsid w:val="00EF7DBF"/>
    <w:rsid w:val="00F02A54"/>
    <w:rsid w:val="00F075EB"/>
    <w:rsid w:val="00F208F1"/>
    <w:rsid w:val="00F251E5"/>
    <w:rsid w:val="00F277FA"/>
    <w:rsid w:val="00F32563"/>
    <w:rsid w:val="00F42880"/>
    <w:rsid w:val="00F53B0D"/>
    <w:rsid w:val="00F9703C"/>
    <w:rsid w:val="00FA1E30"/>
    <w:rsid w:val="00FD120F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4C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04C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21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872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90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on">
    <w:name w:val="common"/>
    <w:basedOn w:val="a0"/>
    <w:rsid w:val="004151CE"/>
  </w:style>
  <w:style w:type="paragraph" w:customStyle="1" w:styleId="21">
    <w:name w:val="Основной текст с отступом 21"/>
    <w:basedOn w:val="a"/>
    <w:rsid w:val="00BD013C"/>
    <w:pPr>
      <w:suppressAutoHyphens/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FontStyle11">
    <w:name w:val="Font Style11"/>
    <w:basedOn w:val="a0"/>
    <w:rsid w:val="00BD013C"/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с отступом 31"/>
    <w:basedOn w:val="a"/>
    <w:rsid w:val="00BD013C"/>
    <w:pPr>
      <w:widowControl w:val="0"/>
      <w:tabs>
        <w:tab w:val="left" w:pos="851"/>
      </w:tabs>
      <w:suppressAutoHyphens/>
      <w:spacing w:after="0" w:line="240" w:lineRule="auto"/>
      <w:ind w:firstLine="709"/>
      <w:jc w:val="both"/>
    </w:pPr>
    <w:rPr>
      <w:rFonts w:ascii="Times New Roman" w:eastAsia="Lucida Sans Unicode" w:hAnsi="Times New Roman" w:cs="Times New Roman"/>
      <w:kern w:val="1"/>
      <w:sz w:val="28"/>
      <w:szCs w:val="24"/>
      <w:lang w:eastAsia="ar-SA"/>
    </w:rPr>
  </w:style>
  <w:style w:type="paragraph" w:customStyle="1" w:styleId="ConsPlusNormal">
    <w:name w:val="ConsPlusNormal"/>
    <w:rsid w:val="003A1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4C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04C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21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872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90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on">
    <w:name w:val="common"/>
    <w:basedOn w:val="a0"/>
    <w:rsid w:val="004151CE"/>
  </w:style>
  <w:style w:type="paragraph" w:customStyle="1" w:styleId="21">
    <w:name w:val="Основной текст с отступом 21"/>
    <w:basedOn w:val="a"/>
    <w:rsid w:val="00BD013C"/>
    <w:pPr>
      <w:suppressAutoHyphens/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FontStyle11">
    <w:name w:val="Font Style11"/>
    <w:basedOn w:val="a0"/>
    <w:rsid w:val="00BD013C"/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с отступом 31"/>
    <w:basedOn w:val="a"/>
    <w:rsid w:val="00BD013C"/>
    <w:pPr>
      <w:widowControl w:val="0"/>
      <w:tabs>
        <w:tab w:val="left" w:pos="851"/>
      </w:tabs>
      <w:suppressAutoHyphens/>
      <w:spacing w:after="0" w:line="240" w:lineRule="auto"/>
      <w:ind w:firstLine="709"/>
      <w:jc w:val="both"/>
    </w:pPr>
    <w:rPr>
      <w:rFonts w:ascii="Times New Roman" w:eastAsia="Lucida Sans Unicode" w:hAnsi="Times New Roman" w:cs="Times New Roman"/>
      <w:kern w:val="1"/>
      <w:sz w:val="28"/>
      <w:szCs w:val="24"/>
      <w:lang w:eastAsia="ar-SA"/>
    </w:rPr>
  </w:style>
  <w:style w:type="paragraph" w:customStyle="1" w:styleId="ConsPlusNormal">
    <w:name w:val="ConsPlusNormal"/>
    <w:rsid w:val="003A1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1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351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Коллеганова</dc:creator>
  <cp:lastModifiedBy>Сергей Б. Романов</cp:lastModifiedBy>
  <cp:revision>2</cp:revision>
  <cp:lastPrinted>2016-01-29T14:56:00Z</cp:lastPrinted>
  <dcterms:created xsi:type="dcterms:W3CDTF">2016-12-23T07:02:00Z</dcterms:created>
  <dcterms:modified xsi:type="dcterms:W3CDTF">2016-12-23T07:02:00Z</dcterms:modified>
</cp:coreProperties>
</file>