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E524B2" w:rsidRDefault="001C473E" w:rsidP="001C473E">
      <w:pPr>
        <w:rPr>
          <w:sz w:val="2"/>
          <w:szCs w:val="2"/>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6D5116" w:rsidP="0077001A">
      <w:pPr>
        <w:ind w:left="5103"/>
        <w:jc w:val="center"/>
        <w:rPr>
          <w:i/>
          <w:sz w:val="26"/>
          <w:szCs w:val="26"/>
        </w:rPr>
      </w:pPr>
      <w:r>
        <w:rPr>
          <w:i/>
          <w:sz w:val="26"/>
          <w:szCs w:val="26"/>
        </w:rPr>
        <w:t>Глава</w:t>
      </w:r>
      <w:r w:rsidR="0077001A" w:rsidRPr="00E524B2">
        <w:rPr>
          <w:i/>
          <w:sz w:val="26"/>
          <w:szCs w:val="26"/>
        </w:rPr>
        <w:t xml:space="preserve"> Макарьевского муниципального района Костромской области</w:t>
      </w:r>
    </w:p>
    <w:p w:rsidR="0077001A" w:rsidRPr="00E524B2" w:rsidRDefault="0077001A" w:rsidP="0077001A">
      <w:pPr>
        <w:ind w:left="5103"/>
        <w:jc w:val="center"/>
        <w:rPr>
          <w:i/>
          <w:sz w:val="26"/>
          <w:szCs w:val="26"/>
        </w:rPr>
      </w:pPr>
      <w:r w:rsidRPr="00E524B2">
        <w:rPr>
          <w:i/>
          <w:sz w:val="26"/>
          <w:szCs w:val="26"/>
        </w:rPr>
        <w:t xml:space="preserve">_____________ </w:t>
      </w:r>
      <w:r w:rsidR="006D5116">
        <w:rPr>
          <w:i/>
          <w:sz w:val="26"/>
          <w:szCs w:val="26"/>
        </w:rPr>
        <w:t>Ю.Ю.Метелкин</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6D5116" w:rsidRPr="006D5116">
        <w:rPr>
          <w:b/>
          <w:bCs/>
        </w:rPr>
        <w:t>30</w:t>
      </w:r>
      <w:r w:rsidR="00C77E2E" w:rsidRPr="006D5116">
        <w:rPr>
          <w:b/>
          <w:bCs/>
        </w:rPr>
        <w:t>.</w:t>
      </w:r>
      <w:r w:rsidR="00A032D4" w:rsidRPr="00E524B2">
        <w:rPr>
          <w:b/>
          <w:bCs/>
        </w:rPr>
        <w:t>1</w:t>
      </w:r>
      <w:r w:rsidR="00F30EB9">
        <w:rPr>
          <w:b/>
          <w:bCs/>
        </w:rPr>
        <w:t>2</w:t>
      </w:r>
      <w:r w:rsidR="00F34620" w:rsidRPr="00E524B2">
        <w:rPr>
          <w:b/>
          <w:bCs/>
        </w:rPr>
        <w:t>.</w:t>
      </w:r>
      <w:r w:rsidR="00914370" w:rsidRPr="00E524B2">
        <w:rPr>
          <w:b/>
        </w:rPr>
        <w:t>20</w:t>
      </w:r>
      <w:r w:rsidR="002474B7" w:rsidRPr="00E524B2">
        <w:rPr>
          <w:b/>
        </w:rPr>
        <w:t>2</w:t>
      </w:r>
      <w:r w:rsidR="009C522C" w:rsidRPr="00E524B2">
        <w:rPr>
          <w:b/>
        </w:rPr>
        <w:t>1</w:t>
      </w:r>
      <w:r w:rsidR="00914370" w:rsidRPr="00E524B2">
        <w:rPr>
          <w:b/>
        </w:rPr>
        <w:t xml:space="preserve"> года в </w:t>
      </w:r>
      <w:r w:rsidR="00A032D4" w:rsidRPr="00E524B2">
        <w:rPr>
          <w:b/>
        </w:rPr>
        <w:t>1</w:t>
      </w:r>
      <w:r w:rsidR="00035C9B" w:rsidRPr="00E524B2">
        <w:rPr>
          <w:b/>
        </w:rPr>
        <w:t>0</w:t>
      </w:r>
      <w:r w:rsidR="006410DD" w:rsidRPr="00E524B2">
        <w:rPr>
          <w:b/>
        </w:rPr>
        <w:t>:</w:t>
      </w:r>
      <w:r w:rsidR="00914370" w:rsidRPr="00E524B2">
        <w:rPr>
          <w:b/>
        </w:rPr>
        <w:t>00 часов по московскому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561CA8">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02CC9" w:rsidRPr="00E524B2">
              <w:rPr>
                <w:bCs/>
                <w:color w:val="auto"/>
                <w:sz w:val="22"/>
                <w:szCs w:val="22"/>
              </w:rPr>
              <w:t>Ермакова Людмила Анатольевна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F30EB9">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26.11.20</w:t>
            </w:r>
            <w:r w:rsidR="009C522C" w:rsidRPr="00E524B2">
              <w:rPr>
                <w:sz w:val="22"/>
                <w:szCs w:val="22"/>
              </w:rPr>
              <w:t>20</w:t>
            </w:r>
            <w:r w:rsidRPr="00E524B2">
              <w:rPr>
                <w:sz w:val="22"/>
                <w:szCs w:val="22"/>
              </w:rPr>
              <w:t xml:space="preserve"> №</w:t>
            </w:r>
            <w:r w:rsidR="009C522C" w:rsidRPr="00E524B2">
              <w:rPr>
                <w:sz w:val="22"/>
                <w:szCs w:val="22"/>
              </w:rPr>
              <w:t xml:space="preserve"> 52</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rsidRPr="00E524B2">
              <w:rPr>
                <w:sz w:val="22"/>
                <w:szCs w:val="22"/>
              </w:rPr>
              <w:t>1</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w:t>
            </w:r>
            <w:r w:rsidR="00F30EB9">
              <w:rPr>
                <w:bCs/>
                <w:sz w:val="22"/>
                <w:szCs w:val="22"/>
              </w:rPr>
              <w:t>26.11</w:t>
            </w:r>
            <w:r w:rsidR="009C522C" w:rsidRPr="00E524B2">
              <w:rPr>
                <w:bCs/>
                <w:sz w:val="22"/>
                <w:szCs w:val="22"/>
              </w:rPr>
              <w:t>.2021 № 5</w:t>
            </w:r>
            <w:r w:rsidR="00F30EB9">
              <w:rPr>
                <w:bCs/>
                <w:sz w:val="22"/>
                <w:szCs w:val="22"/>
              </w:rPr>
              <w:t>97</w:t>
            </w:r>
            <w:r w:rsidR="009C522C" w:rsidRPr="00E524B2">
              <w:rPr>
                <w:bCs/>
                <w:sz w:val="22"/>
                <w:szCs w:val="22"/>
              </w:rPr>
              <w:t>-РА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E524B2" w:rsidRDefault="006D5116" w:rsidP="00CB656C">
            <w:pPr>
              <w:autoSpaceDE w:val="0"/>
              <w:autoSpaceDN w:val="0"/>
              <w:adjustRightInd w:val="0"/>
              <w:jc w:val="center"/>
              <w:rPr>
                <w:bCs/>
              </w:rPr>
            </w:pPr>
            <w:r>
              <w:rPr>
                <w:bCs/>
                <w:sz w:val="22"/>
                <w:szCs w:val="22"/>
              </w:rPr>
              <w:t>30 ноября</w:t>
            </w:r>
            <w:r w:rsidR="00BF31C4" w:rsidRPr="00E524B2">
              <w:rPr>
                <w:bCs/>
                <w:sz w:val="22"/>
                <w:szCs w:val="22"/>
              </w:rPr>
              <w:t xml:space="preserve"> 2021 года с </w:t>
            </w:r>
            <w:r w:rsidR="00CB656C" w:rsidRPr="00E524B2">
              <w:rPr>
                <w:bCs/>
                <w:sz w:val="22"/>
                <w:szCs w:val="22"/>
              </w:rPr>
              <w:t>09</w:t>
            </w:r>
            <w:r w:rsidR="00BF31C4" w:rsidRPr="00E524B2">
              <w:rPr>
                <w:bCs/>
                <w:sz w:val="22"/>
                <w:szCs w:val="22"/>
              </w:rPr>
              <w:t>.00 час 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E524B2" w:rsidRDefault="006D5116" w:rsidP="000E3482">
            <w:pPr>
              <w:autoSpaceDE w:val="0"/>
              <w:autoSpaceDN w:val="0"/>
              <w:adjustRightInd w:val="0"/>
              <w:jc w:val="center"/>
              <w:rPr>
                <w:bCs/>
              </w:rPr>
            </w:pPr>
            <w:r>
              <w:rPr>
                <w:bCs/>
                <w:sz w:val="22"/>
                <w:szCs w:val="22"/>
              </w:rPr>
              <w:t>27 дека</w:t>
            </w:r>
            <w:r w:rsidR="00BF31C4" w:rsidRPr="00E524B2">
              <w:rPr>
                <w:bCs/>
                <w:sz w:val="22"/>
                <w:szCs w:val="22"/>
              </w:rPr>
              <w:t>бря 2021 года до 1</w:t>
            </w:r>
            <w:r w:rsidR="000E3482">
              <w:rPr>
                <w:bCs/>
                <w:sz w:val="22"/>
                <w:szCs w:val="22"/>
              </w:rPr>
              <w:t>4</w:t>
            </w:r>
            <w:r w:rsidR="00BF31C4" w:rsidRPr="00E524B2">
              <w:rPr>
                <w:bCs/>
                <w:sz w:val="22"/>
                <w:szCs w:val="22"/>
              </w:rPr>
              <w:t>.00 час по московскому времени</w:t>
            </w:r>
          </w:p>
        </w:tc>
      </w:tr>
      <w:tr w:rsidR="00FA202D" w:rsidRPr="00E524B2" w:rsidTr="00035C9B">
        <w:trPr>
          <w:trHeight w:val="386"/>
          <w:jc w:val="center"/>
        </w:trPr>
        <w:tc>
          <w:tcPr>
            <w:tcW w:w="456" w:type="dxa"/>
            <w:tcBorders>
              <w:bottom w:val="single" w:sz="4" w:space="0" w:color="auto"/>
            </w:tcBorders>
            <w:shd w:val="clear" w:color="auto" w:fill="F2F2F2"/>
            <w:vAlign w:val="center"/>
          </w:tcPr>
          <w:p w:rsidR="00FA202D" w:rsidRPr="00E524B2" w:rsidRDefault="00035C9B" w:rsidP="00BF31C4">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tcPr>
          <w:p w:rsidR="00FA202D" w:rsidRPr="00E524B2" w:rsidRDefault="00FA202D" w:rsidP="00BF31C4">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E524B2" w:rsidRDefault="00FA202D" w:rsidP="00FA202D">
            <w:pPr>
              <w:autoSpaceDE w:val="0"/>
              <w:autoSpaceDN w:val="0"/>
              <w:adjustRightInd w:val="0"/>
              <w:jc w:val="center"/>
              <w:rPr>
                <w:bCs/>
              </w:rPr>
            </w:pPr>
            <w:r w:rsidRPr="00E524B2">
              <w:rPr>
                <w:rFonts w:eastAsiaTheme="minorHAnsi"/>
                <w:sz w:val="22"/>
                <w:szCs w:val="22"/>
                <w:lang w:eastAsia="en-US"/>
              </w:rPr>
              <w:t>электронная площадка «РТС-тендер» сайт:</w:t>
            </w:r>
            <w:r w:rsidRPr="00E524B2">
              <w:rPr>
                <w:rFonts w:eastAsiaTheme="minorHAnsi"/>
                <w:sz w:val="22"/>
                <w:szCs w:val="22"/>
                <w:lang w:val="en-US" w:eastAsia="en-US"/>
              </w:rPr>
              <w:t>www</w:t>
            </w:r>
            <w:r w:rsidRPr="00E524B2">
              <w:rPr>
                <w:rFonts w:eastAsiaTheme="minorHAnsi"/>
                <w:sz w:val="22"/>
                <w:szCs w:val="22"/>
                <w:lang w:eastAsia="en-US"/>
              </w:rPr>
              <w:t>.</w:t>
            </w:r>
            <w:r w:rsidRPr="00E524B2">
              <w:rPr>
                <w:rFonts w:eastAsiaTheme="minorHAnsi"/>
                <w:sz w:val="22"/>
                <w:szCs w:val="22"/>
                <w:lang w:val="en-US" w:eastAsia="en-US"/>
              </w:rPr>
              <w:t>rts</w:t>
            </w:r>
            <w:r w:rsidRPr="00E524B2">
              <w:rPr>
                <w:rFonts w:eastAsiaTheme="minorHAnsi"/>
                <w:sz w:val="22"/>
                <w:szCs w:val="22"/>
                <w:lang w:eastAsia="en-US"/>
              </w:rPr>
              <w:t>-</w:t>
            </w:r>
            <w:r w:rsidRPr="00E524B2">
              <w:rPr>
                <w:rFonts w:eastAsiaTheme="minorHAnsi"/>
                <w:sz w:val="22"/>
                <w:szCs w:val="22"/>
                <w:lang w:val="en-US" w:eastAsia="en-US"/>
              </w:rPr>
              <w:t>tender</w:t>
            </w:r>
            <w:r w:rsidRPr="00E524B2">
              <w:rPr>
                <w:rFonts w:eastAsiaTheme="minorHAnsi"/>
                <w:sz w:val="22"/>
                <w:szCs w:val="22"/>
                <w:lang w:eastAsia="en-US"/>
              </w:rPr>
              <w:t>.</w:t>
            </w:r>
            <w:r w:rsidRPr="00E524B2">
              <w:rPr>
                <w:rFonts w:eastAsiaTheme="minorHAnsi"/>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CB656C" w:rsidRPr="00E524B2" w:rsidRDefault="00CB656C" w:rsidP="00313622">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CB656C">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40702810600005001156</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30101810945250000967</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 xml:space="preserve">044525967,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487C39">
            <w:pPr>
              <w:pStyle w:val="TableParagraph"/>
              <w:ind w:left="0" w:right="42" w:firstLine="264"/>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E524B2" w:rsidRDefault="00FA202D" w:rsidP="00E012BC">
            <w:pPr>
              <w:pStyle w:val="Default"/>
              <w:jc w:val="center"/>
              <w:rPr>
                <w:color w:val="auto"/>
                <w:sz w:val="22"/>
                <w:szCs w:val="22"/>
              </w:rPr>
            </w:pPr>
            <w:r w:rsidRPr="00E524B2">
              <w:rPr>
                <w:color w:val="auto"/>
                <w:sz w:val="22"/>
                <w:szCs w:val="22"/>
              </w:rPr>
              <w:t>2</w:t>
            </w:r>
            <w:r w:rsidR="00E012BC">
              <w:rPr>
                <w:color w:val="auto"/>
                <w:sz w:val="22"/>
                <w:szCs w:val="22"/>
              </w:rPr>
              <w:t>8</w:t>
            </w:r>
            <w:r w:rsidRPr="00E524B2">
              <w:rPr>
                <w:color w:val="auto"/>
                <w:sz w:val="22"/>
                <w:szCs w:val="22"/>
              </w:rPr>
              <w:t xml:space="preserve"> </w:t>
            </w:r>
            <w:r w:rsidR="00E012BC">
              <w:rPr>
                <w:color w:val="auto"/>
                <w:sz w:val="22"/>
                <w:szCs w:val="22"/>
              </w:rPr>
              <w:t>декабря</w:t>
            </w:r>
            <w:r w:rsidRPr="00E524B2">
              <w:rPr>
                <w:color w:val="auto"/>
                <w:sz w:val="22"/>
                <w:szCs w:val="22"/>
              </w:rPr>
              <w:t xml:space="preserve"> 2021 года  до 17.00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E524B2" w:rsidRDefault="00E012BC" w:rsidP="00E012BC">
            <w:pPr>
              <w:pStyle w:val="Default"/>
              <w:jc w:val="center"/>
              <w:rPr>
                <w:color w:val="auto"/>
                <w:sz w:val="22"/>
                <w:szCs w:val="22"/>
              </w:rPr>
            </w:pPr>
            <w:r>
              <w:rPr>
                <w:color w:val="auto"/>
                <w:sz w:val="22"/>
                <w:szCs w:val="22"/>
              </w:rPr>
              <w:t>30</w:t>
            </w:r>
            <w:r w:rsidR="00FA202D" w:rsidRPr="00E524B2">
              <w:rPr>
                <w:color w:val="auto"/>
                <w:sz w:val="22"/>
                <w:szCs w:val="22"/>
              </w:rPr>
              <w:t xml:space="preserve"> </w:t>
            </w:r>
            <w:r>
              <w:rPr>
                <w:color w:val="auto"/>
                <w:sz w:val="22"/>
                <w:szCs w:val="22"/>
              </w:rPr>
              <w:t>декабря</w:t>
            </w:r>
            <w:r w:rsidR="00FA202D" w:rsidRPr="00E524B2">
              <w:rPr>
                <w:color w:val="auto"/>
                <w:sz w:val="22"/>
                <w:szCs w:val="22"/>
              </w:rPr>
              <w:t xml:space="preserve"> 2021 года в 10.00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E524B2" w:rsidRDefault="00E012BC" w:rsidP="00035C9B">
            <w:pPr>
              <w:pStyle w:val="Default"/>
              <w:jc w:val="center"/>
              <w:rPr>
                <w:color w:val="auto"/>
                <w:sz w:val="22"/>
                <w:szCs w:val="22"/>
              </w:rPr>
            </w:pPr>
            <w:r>
              <w:rPr>
                <w:color w:val="auto"/>
                <w:sz w:val="22"/>
                <w:szCs w:val="22"/>
              </w:rPr>
              <w:t>30 декабря</w:t>
            </w:r>
            <w:r w:rsidR="00035C9B" w:rsidRPr="00E524B2">
              <w:rPr>
                <w:color w:val="auto"/>
                <w:sz w:val="22"/>
                <w:szCs w:val="22"/>
              </w:rPr>
              <w:t xml:space="preserve"> 2021 года с 10.00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5F508B"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p>
          <w:p w:rsidR="00E012BC" w:rsidRDefault="00E012BC" w:rsidP="00E012BC">
            <w:pPr>
              <w:pStyle w:val="Default"/>
              <w:jc w:val="both"/>
              <w:rPr>
                <w:color w:val="auto"/>
                <w:sz w:val="22"/>
                <w:szCs w:val="22"/>
              </w:rPr>
            </w:pPr>
            <w:r>
              <w:rPr>
                <w:color w:val="auto"/>
                <w:sz w:val="22"/>
                <w:szCs w:val="22"/>
              </w:rPr>
              <w:t xml:space="preserve">Субъектам малого и среднего предпринимательства предоставляется рассрочка по оплате на срок до 1(одного) года. </w:t>
            </w:r>
          </w:p>
          <w:p w:rsidR="00E012BC" w:rsidRPr="00E524B2" w:rsidRDefault="00E012BC" w:rsidP="00E012BC">
            <w:pPr>
              <w:pStyle w:val="Default"/>
              <w:jc w:val="both"/>
              <w:rPr>
                <w:iCs/>
                <w:color w:val="auto"/>
                <w:sz w:val="22"/>
                <w:szCs w:val="22"/>
              </w:rPr>
            </w:pPr>
            <w:r>
              <w:rPr>
                <w:color w:val="auto"/>
                <w:sz w:val="22"/>
                <w:szCs w:val="22"/>
              </w:rPr>
              <w:t xml:space="preserve">Рассрочка предоставляется на основании заявления, подданного субъектом МСП </w:t>
            </w:r>
            <w:r w:rsidR="00F30EB9">
              <w:rPr>
                <w:color w:val="auto"/>
                <w:sz w:val="22"/>
                <w:szCs w:val="22"/>
              </w:rPr>
              <w:t xml:space="preserve"> на имя продавца имущества </w:t>
            </w:r>
            <w:r>
              <w:rPr>
                <w:color w:val="auto"/>
                <w:sz w:val="22"/>
                <w:szCs w:val="22"/>
              </w:rPr>
              <w:t xml:space="preserve">до заключения договора купли-продажи.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F508B" w:rsidRDefault="00A42C1C" w:rsidP="00A42C1C">
            <w:pPr>
              <w:ind w:firstLine="540"/>
              <w:jc w:val="both"/>
              <w:rPr>
                <w:sz w:val="22"/>
                <w:szCs w:val="22"/>
              </w:rPr>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p w:rsidR="005A57B1" w:rsidRPr="00E524B2" w:rsidRDefault="005A57B1" w:rsidP="00A42C1C">
            <w:pPr>
              <w:ind w:firstLine="540"/>
              <w:jc w:val="both"/>
            </w:pPr>
            <w:r>
              <w:rPr>
                <w:sz w:val="22"/>
                <w:szCs w:val="22"/>
              </w:rPr>
              <w:t>Для МСП данный порядок определяется условиями договора купли-продажи.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lastRenderedPageBreak/>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Pr="00E524B2" w:rsidRDefault="00BF31C4" w:rsidP="00E012BC">
            <w:pPr>
              <w:jc w:val="center"/>
              <w:rPr>
                <w:rFonts w:eastAsiaTheme="minorHAnsi"/>
                <w:bCs/>
              </w:rPr>
            </w:pPr>
            <w:r w:rsidRPr="00E524B2">
              <w:rPr>
                <w:rFonts w:eastAsiaTheme="minorHAnsi"/>
                <w:bCs/>
                <w:sz w:val="22"/>
                <w:szCs w:val="22"/>
              </w:rPr>
              <w:t>Торги в отношении предмета аукциона</w:t>
            </w:r>
            <w:r w:rsidR="00E012BC">
              <w:rPr>
                <w:rFonts w:eastAsiaTheme="minorHAnsi"/>
                <w:bCs/>
                <w:sz w:val="22"/>
                <w:szCs w:val="22"/>
              </w:rPr>
              <w:t xml:space="preserve"> проводятся впервые.</w:t>
            </w: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lastRenderedPageBreak/>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E524B2" w:rsidRDefault="000F7C62" w:rsidP="000F7C62">
      <w:pPr>
        <w:jc w:val="right"/>
        <w:rPr>
          <w:rFonts w:eastAsia="MS Mincho"/>
          <w:sz w:val="28"/>
          <w:szCs w:val="28"/>
        </w:rPr>
      </w:pPr>
      <w:r w:rsidRPr="00E524B2">
        <w:rPr>
          <w:rFonts w:eastAsia="MS Mincho"/>
          <w:sz w:val="28"/>
          <w:szCs w:val="28"/>
        </w:rPr>
        <w:lastRenderedPageBreak/>
        <w:t>Таблица</w:t>
      </w:r>
      <w:r w:rsidR="00DB693F" w:rsidRPr="00E524B2">
        <w:rPr>
          <w:rFonts w:eastAsia="MS Mincho"/>
          <w:sz w:val="28"/>
          <w:szCs w:val="28"/>
        </w:rPr>
        <w:t xml:space="preserve"> </w:t>
      </w:r>
    </w:p>
    <w:p w:rsidR="00DB693F" w:rsidRPr="00E524B2" w:rsidRDefault="00DB693F" w:rsidP="000F7C62">
      <w:pPr>
        <w:jc w:val="right"/>
        <w:rPr>
          <w:rFonts w:eastAsia="MS Mincho"/>
          <w:sz w:val="20"/>
          <w:szCs w:val="20"/>
        </w:rPr>
      </w:pPr>
      <w:r w:rsidRPr="00E524B2">
        <w:rPr>
          <w:rFonts w:eastAsia="MS Mincho"/>
          <w:sz w:val="20"/>
          <w:szCs w:val="20"/>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6D1B00" w:rsidTr="007D126F">
        <w:trPr>
          <w:trHeight w:val="20"/>
        </w:trPr>
        <w:tc>
          <w:tcPr>
            <w:tcW w:w="566" w:type="dxa"/>
            <w:vMerge w:val="restart"/>
            <w:vAlign w:val="center"/>
          </w:tcPr>
          <w:p w:rsidR="00F3309A" w:rsidRPr="006D1B00" w:rsidRDefault="00F3309A" w:rsidP="007D126F">
            <w:pPr>
              <w:ind w:left="-108" w:right="-108"/>
              <w:jc w:val="center"/>
              <w:rPr>
                <w:sz w:val="22"/>
                <w:szCs w:val="22"/>
              </w:rPr>
            </w:pPr>
            <w:r w:rsidRPr="006D1B00">
              <w:rPr>
                <w:sz w:val="22"/>
                <w:szCs w:val="22"/>
              </w:rPr>
              <w:t>№ лота</w:t>
            </w:r>
          </w:p>
        </w:tc>
        <w:tc>
          <w:tcPr>
            <w:tcW w:w="4396" w:type="dxa"/>
            <w:vMerge w:val="restart"/>
            <w:vAlign w:val="center"/>
          </w:tcPr>
          <w:p w:rsidR="00F3309A" w:rsidRPr="006D1B00" w:rsidRDefault="00F3309A" w:rsidP="007D126F">
            <w:pPr>
              <w:jc w:val="center"/>
              <w:rPr>
                <w:sz w:val="22"/>
                <w:szCs w:val="22"/>
              </w:rPr>
            </w:pPr>
            <w:r w:rsidRPr="006D1B00">
              <w:rPr>
                <w:sz w:val="22"/>
                <w:szCs w:val="22"/>
              </w:rPr>
              <w:t>Наименование объекта продажи, технические характеристики</w:t>
            </w:r>
          </w:p>
          <w:p w:rsidR="00F3309A" w:rsidRPr="006D1B00" w:rsidRDefault="00F3309A" w:rsidP="007D126F">
            <w:pPr>
              <w:jc w:val="center"/>
              <w:rPr>
                <w:sz w:val="22"/>
                <w:szCs w:val="22"/>
              </w:rPr>
            </w:pPr>
          </w:p>
        </w:tc>
        <w:tc>
          <w:tcPr>
            <w:tcW w:w="2722" w:type="dxa"/>
            <w:vMerge w:val="restart"/>
            <w:vAlign w:val="center"/>
          </w:tcPr>
          <w:p w:rsidR="00F3309A" w:rsidRPr="006D1B00" w:rsidRDefault="00F3309A" w:rsidP="007D126F">
            <w:pPr>
              <w:ind w:left="-108" w:right="-108"/>
              <w:jc w:val="center"/>
              <w:rPr>
                <w:sz w:val="22"/>
                <w:szCs w:val="22"/>
              </w:rPr>
            </w:pPr>
            <w:r w:rsidRPr="006D1B00">
              <w:rPr>
                <w:sz w:val="22"/>
                <w:szCs w:val="22"/>
              </w:rPr>
              <w:t>Адрес (местоположение) объекта</w:t>
            </w:r>
          </w:p>
        </w:tc>
        <w:tc>
          <w:tcPr>
            <w:tcW w:w="4223" w:type="dxa"/>
            <w:gridSpan w:val="3"/>
            <w:vAlign w:val="center"/>
          </w:tcPr>
          <w:p w:rsidR="00F3309A" w:rsidRPr="006D1B00" w:rsidRDefault="00F3309A" w:rsidP="007D126F">
            <w:pPr>
              <w:widowControl w:val="0"/>
              <w:autoSpaceDE w:val="0"/>
              <w:autoSpaceDN w:val="0"/>
              <w:adjustRightInd w:val="0"/>
              <w:jc w:val="center"/>
              <w:rPr>
                <w:sz w:val="22"/>
                <w:szCs w:val="22"/>
              </w:rPr>
            </w:pPr>
            <w:r w:rsidRPr="006D1B00">
              <w:rPr>
                <w:sz w:val="22"/>
                <w:szCs w:val="22"/>
              </w:rPr>
              <w:t>Начальная цена продажи,</w:t>
            </w:r>
          </w:p>
          <w:p w:rsidR="00F3309A" w:rsidRPr="006D1B00" w:rsidRDefault="00F3309A" w:rsidP="007D126F">
            <w:pPr>
              <w:ind w:left="-108" w:right="-108"/>
              <w:jc w:val="center"/>
              <w:rPr>
                <w:sz w:val="22"/>
                <w:szCs w:val="22"/>
              </w:rPr>
            </w:pPr>
            <w:r w:rsidRPr="006D1B00">
              <w:rPr>
                <w:sz w:val="22"/>
                <w:szCs w:val="22"/>
              </w:rPr>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rPr>
                <w:sz w:val="22"/>
                <w:szCs w:val="22"/>
              </w:rPr>
            </w:pPr>
            <w:r w:rsidRPr="006D1B00">
              <w:rPr>
                <w:sz w:val="22"/>
                <w:szCs w:val="22"/>
              </w:rPr>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rPr>
                <w:sz w:val="22"/>
                <w:szCs w:val="22"/>
              </w:rPr>
            </w:pPr>
            <w:r w:rsidRPr="006D1B00">
              <w:rPr>
                <w:sz w:val="22"/>
                <w:szCs w:val="22"/>
              </w:rPr>
              <w:t>Задаток</w:t>
            </w:r>
          </w:p>
          <w:p w:rsidR="00F3309A" w:rsidRPr="006D1B00" w:rsidRDefault="00F3309A" w:rsidP="007D126F">
            <w:pPr>
              <w:widowControl w:val="0"/>
              <w:autoSpaceDE w:val="0"/>
              <w:autoSpaceDN w:val="0"/>
              <w:adjustRightInd w:val="0"/>
              <w:jc w:val="center"/>
              <w:rPr>
                <w:sz w:val="22"/>
                <w:szCs w:val="22"/>
              </w:rPr>
            </w:pPr>
            <w:r w:rsidRPr="006D1B00">
              <w:rPr>
                <w:sz w:val="22"/>
                <w:szCs w:val="22"/>
              </w:rPr>
              <w:t>(20 % от начальной цены), руб.</w:t>
            </w:r>
          </w:p>
        </w:tc>
      </w:tr>
      <w:tr w:rsidR="00F3309A" w:rsidRPr="006D1B00" w:rsidTr="00F23A5A">
        <w:trPr>
          <w:trHeight w:val="192"/>
        </w:trPr>
        <w:tc>
          <w:tcPr>
            <w:tcW w:w="566" w:type="dxa"/>
            <w:vMerge/>
          </w:tcPr>
          <w:p w:rsidR="00F3309A" w:rsidRPr="006D1B00" w:rsidRDefault="00F3309A" w:rsidP="00AD54EC">
            <w:pPr>
              <w:autoSpaceDE w:val="0"/>
              <w:autoSpaceDN w:val="0"/>
              <w:adjustRightInd w:val="0"/>
              <w:jc w:val="center"/>
              <w:rPr>
                <w:sz w:val="22"/>
                <w:szCs w:val="22"/>
              </w:rPr>
            </w:pPr>
          </w:p>
        </w:tc>
        <w:tc>
          <w:tcPr>
            <w:tcW w:w="4396" w:type="dxa"/>
            <w:vMerge/>
          </w:tcPr>
          <w:p w:rsidR="00F3309A" w:rsidRPr="006D1B00" w:rsidRDefault="00F3309A" w:rsidP="00AD54EC">
            <w:pPr>
              <w:autoSpaceDE w:val="0"/>
              <w:autoSpaceDN w:val="0"/>
              <w:adjustRightInd w:val="0"/>
              <w:jc w:val="both"/>
              <w:rPr>
                <w:sz w:val="22"/>
                <w:szCs w:val="22"/>
              </w:rPr>
            </w:pPr>
          </w:p>
        </w:tc>
        <w:tc>
          <w:tcPr>
            <w:tcW w:w="2722" w:type="dxa"/>
            <w:vMerge/>
          </w:tcPr>
          <w:p w:rsidR="00F3309A" w:rsidRPr="006D1B00" w:rsidRDefault="00F3309A" w:rsidP="00AD54EC">
            <w:pPr>
              <w:autoSpaceDE w:val="0"/>
              <w:autoSpaceDN w:val="0"/>
              <w:adjustRightInd w:val="0"/>
              <w:ind w:left="-108" w:right="-108"/>
              <w:jc w:val="center"/>
              <w:rPr>
                <w:sz w:val="22"/>
                <w:szCs w:val="22"/>
              </w:rPr>
            </w:pPr>
          </w:p>
        </w:tc>
        <w:tc>
          <w:tcPr>
            <w:tcW w:w="1417" w:type="dxa"/>
            <w:vMerge w:val="restart"/>
          </w:tcPr>
          <w:p w:rsidR="00F3309A" w:rsidRPr="006D1B00" w:rsidRDefault="00F3309A" w:rsidP="00AD54EC">
            <w:pPr>
              <w:ind w:left="-108" w:right="-108"/>
              <w:jc w:val="center"/>
              <w:rPr>
                <w:sz w:val="22"/>
                <w:szCs w:val="22"/>
              </w:rPr>
            </w:pPr>
            <w:r w:rsidRPr="006D1B00">
              <w:rPr>
                <w:sz w:val="22"/>
                <w:szCs w:val="22"/>
              </w:rPr>
              <w:t xml:space="preserve">Всего </w:t>
            </w:r>
          </w:p>
          <w:p w:rsidR="00F3309A" w:rsidRPr="006D1B00" w:rsidRDefault="00F3309A" w:rsidP="00AD54EC">
            <w:pPr>
              <w:ind w:left="-108" w:right="-108"/>
              <w:jc w:val="center"/>
              <w:rPr>
                <w:sz w:val="22"/>
                <w:szCs w:val="22"/>
              </w:rPr>
            </w:pPr>
            <w:r w:rsidRPr="006D1B00">
              <w:rPr>
                <w:sz w:val="22"/>
                <w:szCs w:val="22"/>
              </w:rPr>
              <w:t>(с НДС)</w:t>
            </w:r>
          </w:p>
        </w:tc>
        <w:tc>
          <w:tcPr>
            <w:tcW w:w="2806" w:type="dxa"/>
            <w:gridSpan w:val="2"/>
          </w:tcPr>
          <w:p w:rsidR="00F3309A" w:rsidRPr="006D1B00" w:rsidRDefault="00F3309A" w:rsidP="00AD54EC">
            <w:pPr>
              <w:ind w:left="-108" w:right="-108"/>
              <w:jc w:val="center"/>
              <w:rPr>
                <w:sz w:val="22"/>
                <w:szCs w:val="22"/>
              </w:rPr>
            </w:pPr>
            <w:r w:rsidRPr="006D1B00">
              <w:rPr>
                <w:sz w:val="22"/>
                <w:szCs w:val="22"/>
              </w:rPr>
              <w:t>в том числе</w:t>
            </w:r>
          </w:p>
        </w:tc>
        <w:tc>
          <w:tcPr>
            <w:tcW w:w="1447" w:type="dxa"/>
            <w:vMerge/>
          </w:tcPr>
          <w:p w:rsidR="00F3309A" w:rsidRPr="006D1B00" w:rsidRDefault="00F3309A" w:rsidP="00AD54EC">
            <w:pPr>
              <w:ind w:left="-108" w:right="-108"/>
              <w:jc w:val="center"/>
              <w:rPr>
                <w:sz w:val="22"/>
                <w:szCs w:val="22"/>
              </w:rPr>
            </w:pPr>
          </w:p>
        </w:tc>
        <w:tc>
          <w:tcPr>
            <w:tcW w:w="1275" w:type="dxa"/>
            <w:vMerge/>
          </w:tcPr>
          <w:p w:rsidR="00F3309A" w:rsidRPr="006D1B00" w:rsidRDefault="00F3309A" w:rsidP="00AD54EC">
            <w:pPr>
              <w:ind w:left="-108" w:right="-108"/>
              <w:jc w:val="center"/>
              <w:rPr>
                <w:sz w:val="22"/>
                <w:szCs w:val="22"/>
              </w:rPr>
            </w:pPr>
          </w:p>
        </w:tc>
      </w:tr>
      <w:tr w:rsidR="00F3309A" w:rsidRPr="006D1B00" w:rsidTr="00F23A5A">
        <w:trPr>
          <w:trHeight w:val="977"/>
        </w:trPr>
        <w:tc>
          <w:tcPr>
            <w:tcW w:w="566" w:type="dxa"/>
            <w:vMerge/>
          </w:tcPr>
          <w:p w:rsidR="00F3309A" w:rsidRPr="006D1B00" w:rsidRDefault="00F3309A" w:rsidP="00AD54EC">
            <w:pPr>
              <w:autoSpaceDE w:val="0"/>
              <w:autoSpaceDN w:val="0"/>
              <w:adjustRightInd w:val="0"/>
              <w:jc w:val="center"/>
              <w:rPr>
                <w:sz w:val="22"/>
                <w:szCs w:val="22"/>
              </w:rPr>
            </w:pPr>
          </w:p>
        </w:tc>
        <w:tc>
          <w:tcPr>
            <w:tcW w:w="4396" w:type="dxa"/>
            <w:vMerge/>
          </w:tcPr>
          <w:p w:rsidR="00F3309A" w:rsidRPr="006D1B00" w:rsidRDefault="00F3309A" w:rsidP="00AD54EC">
            <w:pPr>
              <w:autoSpaceDE w:val="0"/>
              <w:autoSpaceDN w:val="0"/>
              <w:adjustRightInd w:val="0"/>
              <w:jc w:val="both"/>
              <w:rPr>
                <w:sz w:val="22"/>
                <w:szCs w:val="22"/>
              </w:rPr>
            </w:pPr>
          </w:p>
        </w:tc>
        <w:tc>
          <w:tcPr>
            <w:tcW w:w="2722" w:type="dxa"/>
            <w:vMerge/>
          </w:tcPr>
          <w:p w:rsidR="00F3309A" w:rsidRPr="006D1B00" w:rsidRDefault="00F3309A" w:rsidP="00AD54EC">
            <w:pPr>
              <w:autoSpaceDE w:val="0"/>
              <w:autoSpaceDN w:val="0"/>
              <w:adjustRightInd w:val="0"/>
              <w:ind w:left="-108" w:right="-108"/>
              <w:jc w:val="center"/>
              <w:rPr>
                <w:sz w:val="22"/>
                <w:szCs w:val="22"/>
              </w:rPr>
            </w:pPr>
          </w:p>
        </w:tc>
        <w:tc>
          <w:tcPr>
            <w:tcW w:w="1417" w:type="dxa"/>
            <w:vMerge/>
          </w:tcPr>
          <w:p w:rsidR="00F3309A" w:rsidRPr="006D1B00" w:rsidRDefault="00F3309A" w:rsidP="00AD54EC">
            <w:pPr>
              <w:ind w:left="-108" w:right="-108"/>
              <w:jc w:val="center"/>
              <w:rPr>
                <w:sz w:val="22"/>
                <w:szCs w:val="22"/>
              </w:rPr>
            </w:pPr>
          </w:p>
        </w:tc>
        <w:tc>
          <w:tcPr>
            <w:tcW w:w="1559" w:type="dxa"/>
          </w:tcPr>
          <w:p w:rsidR="00F3309A" w:rsidRPr="006D1B00" w:rsidRDefault="00F3309A" w:rsidP="00AD54EC">
            <w:pPr>
              <w:ind w:left="-108" w:right="-108"/>
              <w:jc w:val="center"/>
              <w:rPr>
                <w:sz w:val="22"/>
                <w:szCs w:val="22"/>
              </w:rPr>
            </w:pPr>
            <w:r w:rsidRPr="006D1B00">
              <w:rPr>
                <w:sz w:val="22"/>
                <w:szCs w:val="22"/>
              </w:rPr>
              <w:t xml:space="preserve">Объект недвижимости </w:t>
            </w:r>
          </w:p>
          <w:p w:rsidR="00F3309A" w:rsidRPr="006D1B00" w:rsidRDefault="00F3309A" w:rsidP="00AD54EC">
            <w:pPr>
              <w:ind w:left="-108" w:right="-108"/>
              <w:jc w:val="center"/>
              <w:rPr>
                <w:sz w:val="22"/>
                <w:szCs w:val="22"/>
              </w:rPr>
            </w:pPr>
            <w:r w:rsidRPr="006D1B00">
              <w:rPr>
                <w:sz w:val="22"/>
                <w:szCs w:val="22"/>
              </w:rPr>
              <w:t>(с НДС)</w:t>
            </w:r>
          </w:p>
        </w:tc>
        <w:tc>
          <w:tcPr>
            <w:tcW w:w="1247" w:type="dxa"/>
          </w:tcPr>
          <w:p w:rsidR="00F3309A" w:rsidRPr="006D1B00" w:rsidRDefault="00F3309A" w:rsidP="00AD54EC">
            <w:pPr>
              <w:ind w:left="-108" w:right="-108"/>
              <w:jc w:val="center"/>
              <w:rPr>
                <w:sz w:val="22"/>
                <w:szCs w:val="22"/>
              </w:rPr>
            </w:pPr>
            <w:r w:rsidRPr="006D1B00">
              <w:rPr>
                <w:sz w:val="22"/>
                <w:szCs w:val="22"/>
              </w:rPr>
              <w:t>Зем</w:t>
            </w:r>
            <w:r w:rsidR="00F23A5A" w:rsidRPr="006D1B00">
              <w:rPr>
                <w:sz w:val="22"/>
                <w:szCs w:val="22"/>
              </w:rPr>
              <w:t>ельный</w:t>
            </w:r>
          </w:p>
          <w:p w:rsidR="00F3309A" w:rsidRPr="006D1B00" w:rsidRDefault="00F3309A" w:rsidP="00AD54EC">
            <w:pPr>
              <w:ind w:left="-108" w:right="-108"/>
              <w:jc w:val="center"/>
              <w:rPr>
                <w:sz w:val="22"/>
                <w:szCs w:val="22"/>
              </w:rPr>
            </w:pPr>
            <w:r w:rsidRPr="006D1B00">
              <w:rPr>
                <w:sz w:val="22"/>
                <w:szCs w:val="22"/>
              </w:rPr>
              <w:t>участок</w:t>
            </w:r>
          </w:p>
        </w:tc>
        <w:tc>
          <w:tcPr>
            <w:tcW w:w="1447" w:type="dxa"/>
            <w:vMerge/>
          </w:tcPr>
          <w:p w:rsidR="00F3309A" w:rsidRPr="006D1B00" w:rsidRDefault="00F3309A" w:rsidP="00AD54EC">
            <w:pPr>
              <w:ind w:left="-108" w:right="-108"/>
              <w:jc w:val="center"/>
              <w:rPr>
                <w:sz w:val="22"/>
                <w:szCs w:val="22"/>
              </w:rPr>
            </w:pPr>
          </w:p>
        </w:tc>
        <w:tc>
          <w:tcPr>
            <w:tcW w:w="1275" w:type="dxa"/>
            <w:vMerge/>
          </w:tcPr>
          <w:p w:rsidR="00F3309A" w:rsidRPr="006D1B00" w:rsidRDefault="00F3309A" w:rsidP="00AD54EC">
            <w:pPr>
              <w:ind w:left="-108" w:right="-108"/>
              <w:jc w:val="center"/>
              <w:rPr>
                <w:sz w:val="22"/>
                <w:szCs w:val="22"/>
              </w:rPr>
            </w:pPr>
          </w:p>
        </w:tc>
      </w:tr>
      <w:tr w:rsidR="00F3309A" w:rsidRPr="006D1B00" w:rsidTr="00F23A5A">
        <w:trPr>
          <w:trHeight w:val="20"/>
        </w:trPr>
        <w:tc>
          <w:tcPr>
            <w:tcW w:w="566" w:type="dxa"/>
            <w:vAlign w:val="center"/>
          </w:tcPr>
          <w:p w:rsidR="00F3309A" w:rsidRPr="006D1B00" w:rsidRDefault="00F3309A" w:rsidP="00FF6A3D">
            <w:pPr>
              <w:autoSpaceDE w:val="0"/>
              <w:autoSpaceDN w:val="0"/>
              <w:adjustRightInd w:val="0"/>
              <w:jc w:val="center"/>
              <w:rPr>
                <w:sz w:val="22"/>
                <w:szCs w:val="22"/>
              </w:rPr>
            </w:pPr>
            <w:r w:rsidRPr="006D1B00">
              <w:rPr>
                <w:sz w:val="22"/>
                <w:szCs w:val="22"/>
              </w:rPr>
              <w:t>1</w:t>
            </w:r>
          </w:p>
        </w:tc>
        <w:tc>
          <w:tcPr>
            <w:tcW w:w="4396" w:type="dxa"/>
            <w:tcBorders>
              <w:top w:val="single" w:sz="4" w:space="0" w:color="auto"/>
              <w:left w:val="single" w:sz="4" w:space="0" w:color="auto"/>
              <w:bottom w:val="single" w:sz="4" w:space="0" w:color="auto"/>
              <w:right w:val="single" w:sz="4" w:space="0" w:color="auto"/>
            </w:tcBorders>
            <w:vAlign w:val="center"/>
          </w:tcPr>
          <w:p w:rsidR="003410FF" w:rsidRPr="006D1B00" w:rsidRDefault="003410FF" w:rsidP="007D126F">
            <w:pPr>
              <w:widowControl w:val="0"/>
              <w:autoSpaceDE w:val="0"/>
              <w:autoSpaceDN w:val="0"/>
              <w:adjustRightInd w:val="0"/>
              <w:jc w:val="center"/>
              <w:rPr>
                <w:rFonts w:eastAsia="Microsoft YaHei"/>
                <w:color w:val="000000"/>
                <w:sz w:val="22"/>
                <w:szCs w:val="22"/>
              </w:rPr>
            </w:pPr>
            <w:r w:rsidRPr="006D1B00">
              <w:rPr>
                <w:rFonts w:eastAsia="Microsoft YaHei"/>
                <w:color w:val="000000"/>
                <w:sz w:val="22"/>
                <w:szCs w:val="22"/>
              </w:rPr>
              <w:t>здание (</w:t>
            </w:r>
            <w:r w:rsidR="006D1B00" w:rsidRPr="006D1B00">
              <w:rPr>
                <w:rFonts w:eastAsia="Microsoft YaHei"/>
                <w:color w:val="000000"/>
                <w:sz w:val="22"/>
                <w:szCs w:val="22"/>
              </w:rPr>
              <w:t>х</w:t>
            </w:r>
            <w:r w:rsidRPr="006D1B00">
              <w:rPr>
                <w:rFonts w:eastAsia="Microsoft YaHei"/>
                <w:color w:val="000000"/>
                <w:sz w:val="22"/>
                <w:szCs w:val="22"/>
              </w:rPr>
              <w:t xml:space="preserve">лебокомбинат), назначение: нежилое, общая площадь 4461,9 кв.м, </w:t>
            </w:r>
          </w:p>
          <w:p w:rsidR="003410FF" w:rsidRPr="006D1B00" w:rsidRDefault="003410FF" w:rsidP="003410FF">
            <w:pPr>
              <w:widowControl w:val="0"/>
              <w:autoSpaceDE w:val="0"/>
              <w:autoSpaceDN w:val="0"/>
              <w:adjustRightInd w:val="0"/>
              <w:jc w:val="center"/>
              <w:rPr>
                <w:sz w:val="22"/>
                <w:szCs w:val="22"/>
              </w:rPr>
            </w:pPr>
            <w:r w:rsidRPr="006D1B00">
              <w:rPr>
                <w:rFonts w:eastAsia="Microsoft YaHei"/>
                <w:color w:val="000000"/>
                <w:sz w:val="22"/>
                <w:szCs w:val="22"/>
              </w:rPr>
              <w:t xml:space="preserve">КН 44:09:160226:381, </w:t>
            </w:r>
            <w:r w:rsidRPr="006D1B00">
              <w:rPr>
                <w:sz w:val="22"/>
                <w:szCs w:val="22"/>
              </w:rPr>
              <w:t>с одновременным отчуждением земельного участка</w:t>
            </w:r>
            <w:r w:rsidRPr="006D1B00">
              <w:rPr>
                <w:rFonts w:eastAsia="Microsoft YaHei"/>
                <w:color w:val="000000"/>
                <w:sz w:val="22"/>
                <w:szCs w:val="22"/>
              </w:rPr>
              <w:t xml:space="preserve"> общей площадью 2160 кв.м, </w:t>
            </w:r>
            <w:r w:rsidRPr="006D1B00">
              <w:rPr>
                <w:sz w:val="22"/>
                <w:szCs w:val="22"/>
              </w:rPr>
              <w:t xml:space="preserve">категория земель: земли населенных пунктов, вид разрешенного использования: для нужд промышленности, </w:t>
            </w:r>
          </w:p>
          <w:p w:rsidR="003E511F" w:rsidRPr="006D1B00" w:rsidRDefault="003410FF" w:rsidP="003410FF">
            <w:pPr>
              <w:widowControl w:val="0"/>
              <w:autoSpaceDE w:val="0"/>
              <w:autoSpaceDN w:val="0"/>
              <w:adjustRightInd w:val="0"/>
              <w:jc w:val="center"/>
              <w:rPr>
                <w:sz w:val="22"/>
                <w:szCs w:val="22"/>
              </w:rPr>
            </w:pPr>
            <w:r w:rsidRPr="006D1B00">
              <w:rPr>
                <w:rFonts w:eastAsia="Microsoft YaHei"/>
                <w:color w:val="000000"/>
                <w:sz w:val="22"/>
                <w:szCs w:val="22"/>
              </w:rPr>
              <w:t>КН 44:09:160226:16</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6D1B00" w:rsidRDefault="00FF6A3D" w:rsidP="007D126F">
            <w:pPr>
              <w:widowControl w:val="0"/>
              <w:autoSpaceDE w:val="0"/>
              <w:autoSpaceDN w:val="0"/>
              <w:adjustRightInd w:val="0"/>
              <w:jc w:val="center"/>
              <w:rPr>
                <w:sz w:val="22"/>
                <w:szCs w:val="22"/>
              </w:rPr>
            </w:pPr>
            <w:r w:rsidRPr="006D1B00">
              <w:rPr>
                <w:sz w:val="22"/>
                <w:szCs w:val="22"/>
              </w:rPr>
              <w:t xml:space="preserve">Костромская область, Макарьевский район, </w:t>
            </w:r>
            <w:r w:rsidR="003410FF" w:rsidRPr="006D1B00">
              <w:rPr>
                <w:sz w:val="22"/>
                <w:szCs w:val="22"/>
              </w:rPr>
              <w:t>г.Макарьев, ул.Валовая, д.68</w:t>
            </w:r>
          </w:p>
        </w:tc>
        <w:tc>
          <w:tcPr>
            <w:tcW w:w="1417" w:type="dxa"/>
            <w:vAlign w:val="center"/>
          </w:tcPr>
          <w:p w:rsidR="00F3309A" w:rsidRPr="006D1B00" w:rsidRDefault="003410FF" w:rsidP="00FF6A3D">
            <w:pPr>
              <w:ind w:left="-108" w:right="-108"/>
              <w:jc w:val="center"/>
              <w:rPr>
                <w:sz w:val="22"/>
                <w:szCs w:val="22"/>
              </w:rPr>
            </w:pPr>
            <w:r w:rsidRPr="006D1B00">
              <w:rPr>
                <w:sz w:val="22"/>
                <w:szCs w:val="22"/>
              </w:rPr>
              <w:t>5519790</w:t>
            </w:r>
          </w:p>
        </w:tc>
        <w:tc>
          <w:tcPr>
            <w:tcW w:w="1559" w:type="dxa"/>
            <w:vAlign w:val="center"/>
          </w:tcPr>
          <w:p w:rsidR="00F3309A" w:rsidRPr="006D1B00" w:rsidRDefault="003410FF" w:rsidP="00FF6A3D">
            <w:pPr>
              <w:ind w:left="-108" w:right="-108"/>
              <w:jc w:val="center"/>
              <w:rPr>
                <w:sz w:val="22"/>
                <w:szCs w:val="22"/>
              </w:rPr>
            </w:pPr>
            <w:r w:rsidRPr="006D1B00">
              <w:rPr>
                <w:sz w:val="22"/>
                <w:szCs w:val="22"/>
              </w:rPr>
              <w:t>4611452</w:t>
            </w:r>
          </w:p>
        </w:tc>
        <w:tc>
          <w:tcPr>
            <w:tcW w:w="1247" w:type="dxa"/>
            <w:vAlign w:val="center"/>
          </w:tcPr>
          <w:p w:rsidR="00F3309A" w:rsidRPr="006D1B00" w:rsidRDefault="003410FF" w:rsidP="00FF6A3D">
            <w:pPr>
              <w:ind w:left="-108" w:right="-108"/>
              <w:jc w:val="center"/>
              <w:rPr>
                <w:sz w:val="22"/>
                <w:szCs w:val="22"/>
              </w:rPr>
            </w:pPr>
            <w:r w:rsidRPr="006D1B00">
              <w:rPr>
                <w:sz w:val="22"/>
                <w:szCs w:val="22"/>
              </w:rPr>
              <w:t>908338</w:t>
            </w:r>
          </w:p>
        </w:tc>
        <w:tc>
          <w:tcPr>
            <w:tcW w:w="1447" w:type="dxa"/>
            <w:vAlign w:val="center"/>
          </w:tcPr>
          <w:p w:rsidR="00F3309A" w:rsidRPr="006D1B00" w:rsidRDefault="003410FF" w:rsidP="007D126F">
            <w:pPr>
              <w:ind w:left="-108" w:right="-108"/>
              <w:jc w:val="center"/>
              <w:rPr>
                <w:sz w:val="22"/>
                <w:szCs w:val="22"/>
              </w:rPr>
            </w:pPr>
            <w:r w:rsidRPr="006D1B00">
              <w:rPr>
                <w:sz w:val="22"/>
                <w:szCs w:val="22"/>
              </w:rPr>
              <w:t>30</w:t>
            </w:r>
            <w:r w:rsidR="00F3309A" w:rsidRPr="006D1B00">
              <w:rPr>
                <w:sz w:val="22"/>
                <w:szCs w:val="22"/>
              </w:rPr>
              <w:t>000</w:t>
            </w:r>
          </w:p>
        </w:tc>
        <w:tc>
          <w:tcPr>
            <w:tcW w:w="1275" w:type="dxa"/>
            <w:vAlign w:val="center"/>
          </w:tcPr>
          <w:p w:rsidR="00F3309A" w:rsidRPr="006D1B00" w:rsidRDefault="003410FF" w:rsidP="00FF6A3D">
            <w:pPr>
              <w:ind w:left="-108" w:right="-108"/>
              <w:jc w:val="center"/>
              <w:rPr>
                <w:sz w:val="22"/>
                <w:szCs w:val="22"/>
              </w:rPr>
            </w:pPr>
            <w:r w:rsidRPr="006D1B00">
              <w:rPr>
                <w:sz w:val="22"/>
                <w:szCs w:val="22"/>
              </w:rPr>
              <w:t>1103958</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035" w:rsidRDefault="00CA4035" w:rsidP="00016437">
      <w:r>
        <w:separator/>
      </w:r>
    </w:p>
  </w:endnote>
  <w:endnote w:type="continuationSeparator" w:id="1">
    <w:p w:rsidR="00CA4035" w:rsidRDefault="00CA4035"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035" w:rsidRDefault="00CA4035" w:rsidP="00016437">
      <w:r>
        <w:separator/>
      </w:r>
    </w:p>
  </w:footnote>
  <w:footnote w:type="continuationSeparator" w:id="1">
    <w:p w:rsidR="00CA4035" w:rsidRDefault="00CA4035"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C3EC1"/>
    <w:rsid w:val="000D188B"/>
    <w:rsid w:val="000E29E5"/>
    <w:rsid w:val="000E3482"/>
    <w:rsid w:val="000E61B8"/>
    <w:rsid w:val="000F5C70"/>
    <w:rsid w:val="000F7C62"/>
    <w:rsid w:val="00100093"/>
    <w:rsid w:val="00100B5C"/>
    <w:rsid w:val="001128A8"/>
    <w:rsid w:val="00121127"/>
    <w:rsid w:val="0012181F"/>
    <w:rsid w:val="00122592"/>
    <w:rsid w:val="00123876"/>
    <w:rsid w:val="00123BF8"/>
    <w:rsid w:val="00124E7C"/>
    <w:rsid w:val="00125512"/>
    <w:rsid w:val="00132F6E"/>
    <w:rsid w:val="00134729"/>
    <w:rsid w:val="00136D07"/>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2CE9"/>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57B1"/>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4523C"/>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55608"/>
    <w:rsid w:val="00971D89"/>
    <w:rsid w:val="00972BA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71FA"/>
    <w:rsid w:val="00A337B7"/>
    <w:rsid w:val="00A42C1C"/>
    <w:rsid w:val="00A4304F"/>
    <w:rsid w:val="00A43EF6"/>
    <w:rsid w:val="00A46CFC"/>
    <w:rsid w:val="00A529E1"/>
    <w:rsid w:val="00A5462C"/>
    <w:rsid w:val="00A550B1"/>
    <w:rsid w:val="00A56B57"/>
    <w:rsid w:val="00A62688"/>
    <w:rsid w:val="00A62956"/>
    <w:rsid w:val="00A66280"/>
    <w:rsid w:val="00A749A4"/>
    <w:rsid w:val="00A82FD7"/>
    <w:rsid w:val="00A83FFE"/>
    <w:rsid w:val="00A85DB9"/>
    <w:rsid w:val="00AA363F"/>
    <w:rsid w:val="00AA46E0"/>
    <w:rsid w:val="00AA632B"/>
    <w:rsid w:val="00AB2D59"/>
    <w:rsid w:val="00AB661E"/>
    <w:rsid w:val="00AD07D8"/>
    <w:rsid w:val="00AE43F6"/>
    <w:rsid w:val="00AF1EA4"/>
    <w:rsid w:val="00AF7F8C"/>
    <w:rsid w:val="00B01EFC"/>
    <w:rsid w:val="00B026E3"/>
    <w:rsid w:val="00B04022"/>
    <w:rsid w:val="00B10086"/>
    <w:rsid w:val="00B1267E"/>
    <w:rsid w:val="00B16481"/>
    <w:rsid w:val="00B31A61"/>
    <w:rsid w:val="00B3484C"/>
    <w:rsid w:val="00B416DA"/>
    <w:rsid w:val="00B44C95"/>
    <w:rsid w:val="00B45E72"/>
    <w:rsid w:val="00B50AF4"/>
    <w:rsid w:val="00B57977"/>
    <w:rsid w:val="00B67884"/>
    <w:rsid w:val="00B70F24"/>
    <w:rsid w:val="00B72540"/>
    <w:rsid w:val="00B72E64"/>
    <w:rsid w:val="00B7596B"/>
    <w:rsid w:val="00B80940"/>
    <w:rsid w:val="00B83B9F"/>
    <w:rsid w:val="00B94AD8"/>
    <w:rsid w:val="00B94BBF"/>
    <w:rsid w:val="00BA218E"/>
    <w:rsid w:val="00BA6999"/>
    <w:rsid w:val="00BB0575"/>
    <w:rsid w:val="00BB1DAD"/>
    <w:rsid w:val="00BB684C"/>
    <w:rsid w:val="00BB6A7F"/>
    <w:rsid w:val="00BD1B02"/>
    <w:rsid w:val="00BE1CCD"/>
    <w:rsid w:val="00BE3226"/>
    <w:rsid w:val="00BF230D"/>
    <w:rsid w:val="00BF2D49"/>
    <w:rsid w:val="00BF31C4"/>
    <w:rsid w:val="00BF40A5"/>
    <w:rsid w:val="00C056EB"/>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A4035"/>
    <w:rsid w:val="00CB656C"/>
    <w:rsid w:val="00CB6C17"/>
    <w:rsid w:val="00CB7A85"/>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12BC"/>
    <w:rsid w:val="00E0507A"/>
    <w:rsid w:val="00E0508D"/>
    <w:rsid w:val="00E119D9"/>
    <w:rsid w:val="00E20B95"/>
    <w:rsid w:val="00E25A97"/>
    <w:rsid w:val="00E273F7"/>
    <w:rsid w:val="00E447D4"/>
    <w:rsid w:val="00E447F8"/>
    <w:rsid w:val="00E46189"/>
    <w:rsid w:val="00E46358"/>
    <w:rsid w:val="00E466A4"/>
    <w:rsid w:val="00E46BBA"/>
    <w:rsid w:val="00E511A6"/>
    <w:rsid w:val="00E524B2"/>
    <w:rsid w:val="00E602FD"/>
    <w:rsid w:val="00E6268E"/>
    <w:rsid w:val="00E65BB3"/>
    <w:rsid w:val="00E67633"/>
    <w:rsid w:val="00E71293"/>
    <w:rsid w:val="00E72CB7"/>
    <w:rsid w:val="00E75E35"/>
    <w:rsid w:val="00E80C85"/>
    <w:rsid w:val="00E82ECE"/>
    <w:rsid w:val="00E87CB4"/>
    <w:rsid w:val="00EA263D"/>
    <w:rsid w:val="00EB324C"/>
    <w:rsid w:val="00EB3986"/>
    <w:rsid w:val="00EB3BB0"/>
    <w:rsid w:val="00EB59C0"/>
    <w:rsid w:val="00EC0495"/>
    <w:rsid w:val="00EC1DC1"/>
    <w:rsid w:val="00EE6703"/>
    <w:rsid w:val="00EF31E9"/>
    <w:rsid w:val="00EF4040"/>
    <w:rsid w:val="00EF5AEE"/>
    <w:rsid w:val="00F017D2"/>
    <w:rsid w:val="00F03695"/>
    <w:rsid w:val="00F06CB4"/>
    <w:rsid w:val="00F111E0"/>
    <w:rsid w:val="00F16FD1"/>
    <w:rsid w:val="00F22DA8"/>
    <w:rsid w:val="00F23A5A"/>
    <w:rsid w:val="00F26DD1"/>
    <w:rsid w:val="00F30EB9"/>
    <w:rsid w:val="00F32E29"/>
    <w:rsid w:val="00F3309A"/>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8</Pages>
  <Words>2992</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38</cp:revision>
  <cp:lastPrinted>2021-11-29T14:13:00Z</cp:lastPrinted>
  <dcterms:created xsi:type="dcterms:W3CDTF">2021-06-11T14:13:00Z</dcterms:created>
  <dcterms:modified xsi:type="dcterms:W3CDTF">2021-11-29T15:41:00Z</dcterms:modified>
</cp:coreProperties>
</file>